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 ноября 2013 года N 201-ЗСО</w:t>
      </w:r>
      <w:r>
        <w:rPr>
          <w:rFonts w:ascii="Calibri" w:hAnsi="Calibri" w:cs="Calibri"/>
        </w:rPr>
        <w:br/>
      </w:r>
    </w:p>
    <w:p w:rsidR="00CB2D43" w:rsidRDefault="00CB2D43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РОССИЙСКАЯ ФЕДЕРАЦИЯ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ЗАКОН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САРАТОВСКОЙ ОБЛАСТИ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ГОСУДАРСТВЕННОЙ ПОДДЕРЖКЕ ТЕХНОПАРКОВ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САРАТОВСКОЙ ОБЛАСТИ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Принят</w:t>
      </w:r>
      <w:proofErr w:type="gramEnd"/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Саратовской областной Думой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20 ноября 2013 года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0" w:name="Par16"/>
      <w:bookmarkEnd w:id="0"/>
      <w:r>
        <w:rPr>
          <w:rFonts w:ascii="Calibri" w:hAnsi="Calibri" w:cs="Calibri"/>
        </w:rPr>
        <w:t>Статья 1. Основные понятия, используемые в настоящем Законе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Для целей настоящего Закона используются следующие основные понятия: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государственная поддержка технопарков в Саратовской области - совокупность мер, принимаемых органами государственной власти области в отношении управляющих компаний технопарков, включенных в реестр технопарков Саратовской области, претендующих на получение государственной поддержки, и резидентов технопарков, включенных в реестр резидентов технопарков Саратовской области, претендующих на получение государственной поддержки, в соответствии с законодательством области (далее - государственная поддержка);</w:t>
      </w:r>
      <w:proofErr w:type="gramEnd"/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технопарк - имущественный комплекс общей площадью не менее 5000 кв. метров, состоящий из земельных участков, офисных зданий, производственных помещений, объектов инженерной, транспортной инфраструктуры, используемый коммерческими организациями и индивидуальными предпринимателями, научными организациями, образовательными организациями, организациями инфраструктуры поддержки субъектов малого и среднего предпринимательства области для осуществления инновационной деятельности, а также юридическими лицами и индивидуальными предпринимателями, оказывающими бухгалтерские, консультационные, маркетинговые, рекламные, юридические, финансовые и</w:t>
      </w:r>
      <w:proofErr w:type="gramEnd"/>
      <w:r>
        <w:rPr>
          <w:rFonts w:ascii="Calibri" w:hAnsi="Calibri" w:cs="Calibri"/>
        </w:rPr>
        <w:t xml:space="preserve"> другие виды услуг, в том числе для резидентов технопарка;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управляющая компания технопарка - юридическое лицо, управляющее имущественным комплексом технопарка, которое обеспечивает организационную деятельность технопарка, размещает резидентов технопарка на территории технопарка, обеспечивает предоставление сервисных услуг резидентам технопарка, координирует деятельность резидентов технопарка;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резидент технопарка - юридическое лицо, индивидуальный предприниматель, зарегистрированные на территории области и осуществляющие на территории технопарка инновационную деятельность в сферах обрабатывающих производств, сельского хозяйства, информационных технологий, заключившие с управляющей компанией технопарка соглашение о ведении деятельности в технопарке;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уполномоченный орган - орган исполнительной власти области в сфере экономики;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 по инвестициям при Губернаторе Саратовской области - коллегиальный орган, состав, полномочия и порядок деятельности которого определяются Губернатором области.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Понятия, используемые в настоящем Законе и не определенные в настоящей статье, применяются в значениях, определенных федеральным законодательством.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" w:name="Par27"/>
      <w:bookmarkEnd w:id="1"/>
      <w:r>
        <w:rPr>
          <w:rFonts w:ascii="Calibri" w:hAnsi="Calibri" w:cs="Calibri"/>
        </w:rPr>
        <w:t>Статья 2. Основные направления и принципы государственной поддержки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Основными направлениями государственной поддержки являются: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содействие развитию инновационного предпринимательства на территории области;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2) привлечение частных инвестиций в научно-техническую сферу области;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создание условий для эффективного взаимодействия юридических лиц, индивидуальных предпринимателей, осуществляющих инновационную деятельность в сферах промышленного производства, сельского хозяйства, информационных технологий, некоммерческих организаций в сфере науки и образования, организаций инфраструктуры поддержки субъектов малого и среднего предпринимательства области и органов государственной власти области в интересах развития инновационной деятельности на территории области;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содействие продвижению продукции научно-технической и инновационной деятельности на внутреннем и внешнем рынках.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Государственная поддержка осуществляется на основе принципов: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открытости и доступности информации о формах государственной поддержки;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сочетания государственных интересов и интересов управляющих компаний технопарков и резидентов технопарков, претендующих на получение государственной поддержки;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обеспечения органами государственной власти области равного доступа управляющих компаний технопарков и резидентов технопарков к получению государственной поддержки в соответствии с условиями, установленными законодательством области.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2" w:name="Par39"/>
      <w:bookmarkEnd w:id="2"/>
      <w:r>
        <w:rPr>
          <w:rFonts w:ascii="Calibri" w:hAnsi="Calibri" w:cs="Calibri"/>
        </w:rPr>
        <w:t>Статья 3. Меры государственной поддержки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Мерами государственной поддержки могут являться: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налоговые льготы в соответствии с законодательством о налогах и сборах;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отсрочка, рассрочка по уплате налогов, инвестиционного налогового кредита по региональным налогам в соответствии с законодательством о налогах и сборах;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субсидии за счет средств областного бюджета в соответствии с бюджетным законодательством, в том числе </w:t>
      </w:r>
      <w:proofErr w:type="gramStart"/>
      <w:r>
        <w:rPr>
          <w:rFonts w:ascii="Calibri" w:hAnsi="Calibri" w:cs="Calibri"/>
        </w:rPr>
        <w:t>на</w:t>
      </w:r>
      <w:proofErr w:type="gramEnd"/>
      <w:r>
        <w:rPr>
          <w:rFonts w:ascii="Calibri" w:hAnsi="Calibri" w:cs="Calibri"/>
        </w:rPr>
        <w:t>: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создание и (или) развитие энергетической и транспортной инфраструктуры;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подведение к границам технопарков сетей инженерной инфраструктуры;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инженерную подготовку, проведение коммуникаций и реконструкцию производственных площадей;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оснащение технопарков различными видами оборудования;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иные цели, предусмотренные законодательством;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государственные гарантии области в соответствии с законодательством;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бюджетные инвестиции в соответствии с законодательством;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информационная и консультационная поддержка.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3" w:name="Par54"/>
      <w:bookmarkEnd w:id="3"/>
      <w:r>
        <w:rPr>
          <w:rFonts w:ascii="Calibri" w:hAnsi="Calibri" w:cs="Calibri"/>
        </w:rPr>
        <w:t>Статья 4. Реестр технопарков Саратовской области, претендующих на получение государственной поддержки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В целях предоставления управляющим компаниям технопарков мер государственной поддержки уполномоченный орган </w:t>
      </w:r>
      <w:proofErr w:type="gramStart"/>
      <w:r>
        <w:rPr>
          <w:rFonts w:ascii="Calibri" w:hAnsi="Calibri" w:cs="Calibri"/>
        </w:rPr>
        <w:t>формирует и ведет</w:t>
      </w:r>
      <w:proofErr w:type="gramEnd"/>
      <w:r>
        <w:rPr>
          <w:rFonts w:ascii="Calibri" w:hAnsi="Calibri" w:cs="Calibri"/>
        </w:rPr>
        <w:t xml:space="preserve"> реестр технопарков Саратовской области, претендующих на получение государственной поддержки (далее - реестр технопарков). Порядок формирования и ведения реестра технопарков устанавливается Правительством области.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 xml:space="preserve">Решение о включении технопарка в реестр технопарков принимается уполномоченным органом в соответствии с рекомендацией Совета по инвестициям при Губернаторе Саратовской области на основании поданных управляющей компанией технопарка заявления о включении технопарка в реестр технопарков и документов, подтверждающих соответствие управляющей компании технопарка условиям, установленным </w:t>
      </w:r>
      <w:hyperlink w:anchor="Par58" w:history="1">
        <w:r>
          <w:rPr>
            <w:rFonts w:ascii="Calibri" w:hAnsi="Calibri" w:cs="Calibri"/>
            <w:color w:val="0000FF"/>
          </w:rPr>
          <w:t>частью 3</w:t>
        </w:r>
      </w:hyperlink>
      <w:r>
        <w:rPr>
          <w:rFonts w:ascii="Calibri" w:hAnsi="Calibri" w:cs="Calibri"/>
        </w:rPr>
        <w:t xml:space="preserve"> настоящей статьи, в порядке и сроки, установленные Правительством области.</w:t>
      </w:r>
      <w:proofErr w:type="gramEnd"/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58"/>
      <w:bookmarkEnd w:id="4"/>
      <w:r>
        <w:rPr>
          <w:rFonts w:ascii="Calibri" w:hAnsi="Calibri" w:cs="Calibri"/>
        </w:rPr>
        <w:t>3. В соответствии с законодательством для включения технопарка в реестр технопарков управляющая компания технопарка должна соответствовать следующим условиям: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управляющая компания технопарка должна быть зарегистрирована на территории области;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наличие у управляющей компании технопарка бизнес-плана развития технопарка, </w:t>
      </w:r>
      <w:proofErr w:type="gramStart"/>
      <w:r>
        <w:rPr>
          <w:rFonts w:ascii="Calibri" w:hAnsi="Calibri" w:cs="Calibri"/>
        </w:rPr>
        <w:t>включающего</w:t>
      </w:r>
      <w:proofErr w:type="gramEnd"/>
      <w:r>
        <w:rPr>
          <w:rFonts w:ascii="Calibri" w:hAnsi="Calibri" w:cs="Calibri"/>
        </w:rPr>
        <w:t xml:space="preserve"> в том числе организационный план управления технопарком, финансовый план, </w:t>
      </w:r>
      <w:r>
        <w:rPr>
          <w:rFonts w:ascii="Calibri" w:hAnsi="Calibri" w:cs="Calibri"/>
        </w:rPr>
        <w:lastRenderedPageBreak/>
        <w:t>анализ потребностей потенциальных резидентов технопарка и предварительный расчет объемов запрашиваемой государственной поддержки с указанием мер государственной поддержки;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заполненность и востребованность технопарка (доля производственных площадей, занятых резидентами технопарка, на дату подачи заявления о включении технопарка в реестр технопарков должна превышать 20 процентов от общей производственной площади технопарка; доля производственных и офисных площадей, занятых юридическими лицами и индивидуальными предпринимателями, оказывающими бухгалтерские, консультационные, маркетинговые, рекламные, юридические, финансовые и другие виды услуг, не должна превышать 15 процентов от общей производственной и офисной площади технопарка);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отсутствие у управляющей компании технопарка на дату подачи заявления о включении технопарка в реестр технопарков неисполненной обязанности по уплате налогов, сборов, пеней и налоговых санкций в бюджеты бюджетной системы Российской Федерации.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Перечень документов, форма заявления о включении в реестр технопарков и форма бизнес-плана развития технопарка, представляемых управляющей компанией технопарка для принятия решения о включении технопарка в реестр технопарков, устанавливаются Правительством области.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случае включения технопарка в реестр технопарков уполномоченный орган в течение 30 календарных дней заключает с управляющей компанией технопарка соглашение о присвоении ему статуса технопарка, претендующего на получение государственной поддержки, форма и сроки действия которого утверждаются Правительством области.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65"/>
      <w:bookmarkEnd w:id="5"/>
      <w:r>
        <w:rPr>
          <w:rFonts w:ascii="Calibri" w:hAnsi="Calibri" w:cs="Calibri"/>
        </w:rPr>
        <w:t>6. Уполномоченным органом ежегодно в срок до 1-го мая осуществляется оценка эффективности деятельности управляющих компаний технопарков, включенных в реестр технопарков, по критериям, установленным Правительством области в соответствии с федеральным законодательством, на основании отчетов о деятельности управляющих компаний технопарков, представляемых в уполномоченный орган. Форма отчета о деятельности управляющей компании технопарка, сроки его представления, а также перечень документов, подтверждающих указанные в нем сведения, устанавливаются Правительством области.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 xml:space="preserve">Решение об исключении технопарка из реестра технопарков принимается уполномоченным органом в соответствии с рекомендацией Совета по инвестициям при Губернаторе Саратовской области в случае выявления несоответствия управляющей компании технопарка условиям, установленным </w:t>
      </w:r>
      <w:hyperlink w:anchor="Par58" w:history="1">
        <w:r>
          <w:rPr>
            <w:rFonts w:ascii="Calibri" w:hAnsi="Calibri" w:cs="Calibri"/>
            <w:color w:val="0000FF"/>
          </w:rPr>
          <w:t>частью 3</w:t>
        </w:r>
      </w:hyperlink>
      <w:r>
        <w:rPr>
          <w:rFonts w:ascii="Calibri" w:hAnsi="Calibri" w:cs="Calibri"/>
        </w:rPr>
        <w:t xml:space="preserve"> настоящей статьи, на основании проведенной в соответствии с </w:t>
      </w:r>
      <w:hyperlink w:anchor="Par65" w:history="1">
        <w:r>
          <w:rPr>
            <w:rFonts w:ascii="Calibri" w:hAnsi="Calibri" w:cs="Calibri"/>
            <w:color w:val="0000FF"/>
          </w:rPr>
          <w:t>частью 6</w:t>
        </w:r>
      </w:hyperlink>
      <w:r>
        <w:rPr>
          <w:rFonts w:ascii="Calibri" w:hAnsi="Calibri" w:cs="Calibri"/>
        </w:rPr>
        <w:t xml:space="preserve"> настоящей статьи оценки эффективности деятельности управляющих компаний технопарков в порядке и сроки, установленные Правительством области.</w:t>
      </w:r>
      <w:proofErr w:type="gramEnd"/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6" w:name="Par68"/>
      <w:bookmarkEnd w:id="6"/>
      <w:r>
        <w:rPr>
          <w:rFonts w:ascii="Calibri" w:hAnsi="Calibri" w:cs="Calibri"/>
        </w:rPr>
        <w:t>Статья 5. Реестр резидентов технопарков Саратовской области, претендующих на получение государственной поддержки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В целях предоставления резидентам технопарков мер государственной поддержки уполномоченный орган </w:t>
      </w:r>
      <w:proofErr w:type="gramStart"/>
      <w:r>
        <w:rPr>
          <w:rFonts w:ascii="Calibri" w:hAnsi="Calibri" w:cs="Calibri"/>
        </w:rPr>
        <w:t>формирует и ведет</w:t>
      </w:r>
      <w:proofErr w:type="gramEnd"/>
      <w:r>
        <w:rPr>
          <w:rFonts w:ascii="Calibri" w:hAnsi="Calibri" w:cs="Calibri"/>
        </w:rPr>
        <w:t xml:space="preserve"> реестр резидентов технопарков Саратовской области, претендующих на получение государственной поддержки (далее - реестр резидентов технопарков). Порядок формирования и ведения реестра резидентов технопарков устанавливается Правительством области.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 xml:space="preserve">Решение о включении резидента технопарка в реестр резидентов технопарков принимается уполномоченным органом в соответствии с рекомендацией Совета по инвестициям при Губернаторе Саратовской области на основании поданных резидентом технопарка заявления о включении в реестр резидентов технопарков и документов, подтверждающих соответствие резидента технопарка условиям, установленным </w:t>
      </w:r>
      <w:hyperlink w:anchor="Par72" w:history="1">
        <w:r>
          <w:rPr>
            <w:rFonts w:ascii="Calibri" w:hAnsi="Calibri" w:cs="Calibri"/>
            <w:color w:val="0000FF"/>
          </w:rPr>
          <w:t>частью 3</w:t>
        </w:r>
      </w:hyperlink>
      <w:r>
        <w:rPr>
          <w:rFonts w:ascii="Calibri" w:hAnsi="Calibri" w:cs="Calibri"/>
        </w:rPr>
        <w:t xml:space="preserve"> настоящей статьи, в порядке и сроки, установленные Правительством области.</w:t>
      </w:r>
      <w:proofErr w:type="gramEnd"/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72"/>
      <w:bookmarkEnd w:id="7"/>
      <w:r>
        <w:rPr>
          <w:rFonts w:ascii="Calibri" w:hAnsi="Calibri" w:cs="Calibri"/>
        </w:rPr>
        <w:t>3. Резидент технопарка включается в реестр резидентов технопарков при соблюдении следующих условий: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резидент технопарка должен быть зарегистрирован на территории области;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резидент технопарка должен размещаться на территории технопарка, включенного в реестр технопарков;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наличие у резидента технопарка плана реализации инновационного проекта, на который </w:t>
      </w:r>
      <w:r>
        <w:rPr>
          <w:rFonts w:ascii="Calibri" w:hAnsi="Calibri" w:cs="Calibri"/>
        </w:rPr>
        <w:lastRenderedPageBreak/>
        <w:t xml:space="preserve">получено положительное экспертное заключение отраслевого органа исполнительной власти области, </w:t>
      </w:r>
      <w:proofErr w:type="gramStart"/>
      <w:r>
        <w:rPr>
          <w:rFonts w:ascii="Calibri" w:hAnsi="Calibri" w:cs="Calibri"/>
        </w:rPr>
        <w:t>включающего</w:t>
      </w:r>
      <w:proofErr w:type="gramEnd"/>
      <w:r>
        <w:rPr>
          <w:rFonts w:ascii="Calibri" w:hAnsi="Calibri" w:cs="Calibri"/>
        </w:rPr>
        <w:t xml:space="preserve"> в том числе описание инновационной деятельности резидента технопарка, изложение сущности инновационного проекта и описание конечного результата его реализации, календарный, организационный и финансовый планы реализации инновационного проекта, предварительный расчет объемов запрашиваемой государственной поддержки с указанием мер государственной поддержки;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наличие у резидента технопарка действующего соглашения с управляющей компанией технопарка о ведении деятельности в технопарке;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отсутствие у резидента технопарка на дату подачи заявления о включении в реестр резидентов технопарков неисполненной обязанности по уплате налогов, сборов, пеней и налоговых санкций в бюджеты бюджетной системы Российской Федерации;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наличие у резидента технопарка лицензии на право осуществления вида деятельности, подлежащего лицензированию в соответствии с законодательством, в случае если резидент технопарка планирует осуществлять данный вид деятельности на территории технопарка.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Перечень документов, форма заявления о включении в реестр резидентов технопарков, форма плана реализации инновационного проекта, представляемых резидентом технопарка для принятия решения о включении его в реестр резидентов технопарков, а также процедура направления плана реализации инновационного проекта на экспертное заключение в отраслевой орган исполнительной власти области устанавливаются Правительством области.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случае включения резидента технопарка в реестр резидентов технопарков уполномоченный орган в течение 30 календарных дней заключает с резидентом технопарка соглашение о присвоении ему статуса резидента технопарка, претендующего на получение государственной поддержки, форма которого утверждается Правительством области.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Срок действия указанного соглашения не может превышать срок действия соглашения резидента технопарка с управляющей компанией технопарка о ведении деятельности в технопарке.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82"/>
      <w:bookmarkEnd w:id="8"/>
      <w:r>
        <w:rPr>
          <w:rFonts w:ascii="Calibri" w:hAnsi="Calibri" w:cs="Calibri"/>
        </w:rPr>
        <w:t>7. Уполномоченным органом ежегодно в срок до 1-го мая осуществляется оценка эффективности деятельности резидентов технопарков, включенных в реестр резидентов технопарков, по критериям, установленным Правительством области в соответствии с федеральным законодательством, на основании отчетов о деятельности резидентов технопарков, представляемых в уполномоченный орган. Форма отчета о деятельности резидента технопарка, сроки его представления, а также перечень документов, подтверждающих указанные в нем сведения, устанавливаются Правительством области.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 xml:space="preserve">Решение об исключении резидента технопарка из реестра резидентов технопарков принимается уполномоченным органом в соответствии с рекомендацией Совета по инвестициям при Губернаторе Саратовской области в случае выявления несоответствия резидента технопарка условиям, установленным </w:t>
      </w:r>
      <w:hyperlink w:anchor="Par72" w:history="1">
        <w:r>
          <w:rPr>
            <w:rFonts w:ascii="Calibri" w:hAnsi="Calibri" w:cs="Calibri"/>
            <w:color w:val="0000FF"/>
          </w:rPr>
          <w:t>частью 3</w:t>
        </w:r>
      </w:hyperlink>
      <w:r>
        <w:rPr>
          <w:rFonts w:ascii="Calibri" w:hAnsi="Calibri" w:cs="Calibri"/>
        </w:rPr>
        <w:t xml:space="preserve"> настоящей статьи, на основании проведенной в соответствии с </w:t>
      </w:r>
      <w:hyperlink w:anchor="Par82" w:history="1">
        <w:r>
          <w:rPr>
            <w:rFonts w:ascii="Calibri" w:hAnsi="Calibri" w:cs="Calibri"/>
            <w:color w:val="0000FF"/>
          </w:rPr>
          <w:t>частью 7</w:t>
        </w:r>
      </w:hyperlink>
      <w:r>
        <w:rPr>
          <w:rFonts w:ascii="Calibri" w:hAnsi="Calibri" w:cs="Calibri"/>
        </w:rPr>
        <w:t xml:space="preserve"> настоящей статьи оценки эффективности деятельности резидентов технопарков в порядке и сроки, установленные Правительством области.</w:t>
      </w:r>
      <w:proofErr w:type="gramEnd"/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9" w:name="Par85"/>
      <w:bookmarkEnd w:id="9"/>
      <w:r>
        <w:rPr>
          <w:rFonts w:ascii="Calibri" w:hAnsi="Calibri" w:cs="Calibri"/>
        </w:rPr>
        <w:t>Статья 6. Вступление в силу настоящего Закона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Закон вступает в силу со дня его официального опубликования.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Саратовской области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В.В.РАДАЕВ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г. Саратов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25 ноября 2013 года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201-ЗСО</w:t>
      </w: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B2D43" w:rsidRDefault="00CB2D4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B2D43" w:rsidRDefault="00CB2D43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AB2870" w:rsidRDefault="00CB2D43"/>
    <w:sectPr w:rsidR="00AB2870" w:rsidSect="00FB5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characterSpacingControl w:val="doNotCompress"/>
  <w:compat/>
  <w:rsids>
    <w:rsidRoot w:val="00CB2D43"/>
    <w:rsid w:val="00312FB2"/>
    <w:rsid w:val="00334B2F"/>
    <w:rsid w:val="005038A2"/>
    <w:rsid w:val="007549A9"/>
    <w:rsid w:val="008B634C"/>
    <w:rsid w:val="00BC7C24"/>
    <w:rsid w:val="00BE0EE0"/>
    <w:rsid w:val="00CB2D43"/>
    <w:rsid w:val="00CC5C28"/>
    <w:rsid w:val="00FD5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2042</Words>
  <Characters>11644</Characters>
  <Application>Microsoft Office Word</Application>
  <DocSecurity>0</DocSecurity>
  <Lines>97</Lines>
  <Paragraphs>27</Paragraphs>
  <ScaleCrop>false</ScaleCrop>
  <Company>*</Company>
  <LinksUpToDate>false</LinksUpToDate>
  <CharactersWithSpaces>13659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Bezzubova</dc:creator>
  <cp:keywords/>
  <dc:description/>
  <cp:lastModifiedBy>Bezzubova</cp:lastModifiedBy>
  <cp:revision>1</cp:revision>
  <dcterms:created xsi:type="dcterms:W3CDTF">2014-05-05T06:11:00Z</dcterms:created>
  <dcterms:modified xsi:type="dcterms:W3CDTF">2014-05-05T06:12:00Z</dcterms:modified>
</cp:coreProperties>
</file>