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3F5333" w:rsidTr="005016A9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3F5333" w:rsidRDefault="003F5333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Calibri"/>
              </w:rPr>
            </w:pPr>
            <w:r>
              <w:object w:dxaOrig="1012" w:dyaOrig="1296">
                <v:rect id="rectole0000000000" o:spid="_x0000_i1025" style="width:50.25pt;height:64.5pt" o:ole="" o:preferrelative="t" stroked="f">
                  <v:imagedata r:id="rId5" o:title=""/>
                </v:rect>
                <o:OLEObject Type="Embed" ProgID="StaticMetafile" ShapeID="rectole0000000000" DrawAspect="Content" ObjectID="_1636975234" r:id="rId6"/>
              </w:object>
            </w:r>
          </w:p>
        </w:tc>
      </w:tr>
      <w:tr w:rsidR="003F5333" w:rsidTr="005016A9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3F5333" w:rsidRDefault="005016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ЛЫСОГОРСКОГО  МУНИЦИПАЛЬНОГО  РАЙОНА</w:t>
            </w:r>
          </w:p>
          <w:p w:rsidR="003F5333" w:rsidRDefault="005016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САРАТОВСКОЙ  ОБЛАСТИ</w:t>
            </w:r>
          </w:p>
          <w:p w:rsidR="005016A9" w:rsidRDefault="005016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5333" w:rsidRDefault="003F5333">
            <w:pPr>
              <w:spacing w:after="0" w:line="240" w:lineRule="auto"/>
              <w:ind w:firstLine="709"/>
              <w:jc w:val="center"/>
            </w:pPr>
          </w:p>
        </w:tc>
      </w:tr>
      <w:tr w:rsidR="003F5333" w:rsidTr="005016A9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3F5333" w:rsidRDefault="005016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3F5333" w:rsidRDefault="003F5333">
            <w:pPr>
              <w:spacing w:after="0" w:line="240" w:lineRule="auto"/>
              <w:ind w:firstLine="709"/>
              <w:jc w:val="center"/>
            </w:pPr>
          </w:p>
        </w:tc>
      </w:tr>
      <w:tr w:rsidR="003F5333" w:rsidTr="005016A9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3F5333" w:rsidRDefault="005016A9">
            <w:pPr>
              <w:spacing w:after="0" w:line="240" w:lineRule="auto"/>
              <w:ind w:firstLine="70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12 ноября 2019 года № 484</w:t>
            </w:r>
          </w:p>
        </w:tc>
      </w:tr>
      <w:tr w:rsidR="003F5333" w:rsidTr="005016A9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3F5333" w:rsidRDefault="003F533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5333" w:rsidRDefault="005016A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6A9">
              <w:rPr>
                <w:rFonts w:ascii="Times New Roman" w:eastAsia="Times New Roman" w:hAnsi="Times New Roman" w:cs="Times New Roman"/>
                <w:sz w:val="20"/>
                <w:szCs w:val="20"/>
              </w:rPr>
              <w:t>р.п. Лысые Горы</w:t>
            </w:r>
          </w:p>
          <w:p w:rsidR="005016A9" w:rsidRPr="005016A9" w:rsidRDefault="005016A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333" w:rsidRDefault="003F5333">
            <w:pPr>
              <w:spacing w:after="0" w:line="240" w:lineRule="auto"/>
              <w:ind w:firstLine="709"/>
              <w:contextualSpacing/>
              <w:jc w:val="center"/>
            </w:pPr>
          </w:p>
        </w:tc>
      </w:tr>
      <w:tr w:rsidR="003F5333" w:rsidTr="005016A9">
        <w:trPr>
          <w:trHeight w:val="1"/>
        </w:trPr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3F5333" w:rsidRDefault="005016A9" w:rsidP="005016A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утверждении муниципальной программы «Обеспечение и содержание муниципального учреждения «Централизованная бухгалтерия отдела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Лысогорского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муниципального района Саратовской области» на 2020-2022 годы»</w:t>
            </w:r>
          </w:p>
        </w:tc>
      </w:tr>
    </w:tbl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16A9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5016A9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5333" w:rsidRDefault="005016A9" w:rsidP="005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5016A9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F5333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 Утвердить муниципальную программу «Обеспечение и содержание муниципального учреждения «Централизованная бухгалтерия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на 2020-2022 годы» согласно приложению.</w:t>
      </w:r>
    </w:p>
    <w:p w:rsidR="003F5333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 Признать утратившим силу постановление от 28 декабря 2018 г. № 660 «Об утверждении муниципальной программы «Обеспечение и содержание муниципального учреждения «Централизованная бухгалтерия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на 2019-2021 годы».</w:t>
      </w:r>
    </w:p>
    <w:p w:rsidR="003F5333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в сети интернет на официальном сайте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района.</w:t>
      </w:r>
    </w:p>
    <w:p w:rsidR="003F5333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района 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Фимушкину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F5333" w:rsidRPr="005016A9" w:rsidRDefault="005016A9" w:rsidP="005016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016A9"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 1 января 2020 года.</w:t>
      </w: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16A9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Лысогорского</w:t>
      </w:r>
      <w:proofErr w:type="spellEnd"/>
    </w:p>
    <w:p w:rsidR="003F5333" w:rsidRDefault="005016A9" w:rsidP="00501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Девличаров</w:t>
      </w:r>
      <w:proofErr w:type="spellEnd"/>
    </w:p>
    <w:p w:rsidR="005016A9" w:rsidRPr="005016A9" w:rsidRDefault="005016A9" w:rsidP="005016A9">
      <w:pPr>
        <w:spacing w:after="0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5016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                                                                                                                         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</w:p>
    <w:p w:rsidR="005016A9" w:rsidRPr="005016A9" w:rsidRDefault="005016A9" w:rsidP="005016A9">
      <w:pPr>
        <w:spacing w:after="0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 администрации</w:t>
      </w:r>
    </w:p>
    <w:p w:rsidR="005016A9" w:rsidRPr="005016A9" w:rsidRDefault="005016A9" w:rsidP="005016A9">
      <w:pPr>
        <w:spacing w:after="0"/>
        <w:contextualSpacing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>Лысогорского</w:t>
      </w:r>
      <w:proofErr w:type="spellEnd"/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</w:p>
    <w:p w:rsidR="005016A9" w:rsidRDefault="005016A9" w:rsidP="005016A9">
      <w:pPr>
        <w:spacing w:after="0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от 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 12 »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080F0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ноя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бря  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>2019 года №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484 </w:t>
      </w:r>
      <w:r w:rsidRPr="005016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5016A9" w:rsidRDefault="005016A9" w:rsidP="005016A9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6A9" w:rsidRDefault="005016A9" w:rsidP="005016A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6A9" w:rsidRDefault="005016A9" w:rsidP="005016A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6A9" w:rsidRDefault="005016A9" w:rsidP="005016A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6A9" w:rsidRPr="005016A9" w:rsidRDefault="005016A9" w:rsidP="005016A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5016A9" w:rsidRPr="005016A9" w:rsidRDefault="005016A9" w:rsidP="005016A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6A9" w:rsidRPr="005016A9" w:rsidRDefault="005016A9" w:rsidP="005016A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учреждения« Централизованная бухгалтерия отдела образования администрации </w:t>
      </w:r>
      <w:proofErr w:type="spellStart"/>
      <w:r w:rsidRPr="00501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Лысогорского</w:t>
      </w:r>
      <w:proofErr w:type="spellEnd"/>
      <w:r w:rsidRPr="00501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5016A9" w:rsidRPr="005016A9" w:rsidRDefault="005016A9" w:rsidP="005016A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6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2020-2022 г.г.</w:t>
      </w: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Cs/>
          <w:color w:val="000000"/>
          <w:sz w:val="29"/>
          <w:szCs w:val="29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6A9" w:rsidRDefault="005016A9" w:rsidP="005016A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</w:t>
      </w:r>
    </w:p>
    <w:p w:rsidR="005016A9" w:rsidRDefault="005016A9" w:rsidP="005016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учреждения« Централизованная бухгалтерия отдела образования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5016A9" w:rsidRDefault="005016A9" w:rsidP="005016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 г.г.</w:t>
      </w: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6A9" w:rsidRDefault="005016A9" w:rsidP="005016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2"/>
        <w:gridCol w:w="7674"/>
      </w:tblGrid>
      <w:tr w:rsidR="005016A9" w:rsidTr="00C7643B">
        <w:trPr>
          <w:trHeight w:val="1613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муниципального учреждения« Централизованная бухгалтерия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2020-2022 г.г.</w:t>
            </w:r>
          </w:p>
        </w:tc>
      </w:tr>
      <w:tr w:rsidR="005016A9" w:rsidTr="00C7643B">
        <w:trPr>
          <w:trHeight w:val="1613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16A9" w:rsidRDefault="00E824C2" w:rsidP="00C764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016A9">
                <w:rPr>
                  <w:rStyle w:val="a3"/>
                  <w:rFonts w:ascii="Times New Roman" w:hAnsi="Times New Roman"/>
                </w:rPr>
                <w:t>Бюджетный Кодекс Российской Федерации</w:t>
              </w:r>
            </w:hyperlink>
            <w:r w:rsidR="005016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16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="005016A9">
                <w:rPr>
                  <w:rStyle w:val="a3"/>
                  <w:rFonts w:ascii="Times New Roman" w:hAnsi="Times New Roman"/>
                </w:rPr>
                <w:t>Федеральный Закон N 402-ФЗ "О бухгалтерском учете"</w:t>
              </w:r>
            </w:hyperlink>
            <w:r w:rsidR="005016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16A9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Федеральный Закон N 131-ФЗ "Об общих принципах организации местного самоуправления в Российской Федерации";</w:t>
            </w:r>
            <w:r w:rsidR="005016A9">
              <w:rPr>
                <w:rFonts w:ascii="Times New Roman" w:hAnsi="Times New Roman" w:cs="Times New Roman"/>
                <w:sz w:val="28"/>
                <w:szCs w:val="28"/>
              </w:rPr>
              <w:br/>
              <w:t>Устав м</w:t>
            </w:r>
            <w:r w:rsidR="005016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униципального учреждения «Централизованная бухгалтерия отдела образования администрации </w:t>
            </w:r>
            <w:proofErr w:type="spellStart"/>
            <w:r w:rsidR="005016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Лысогорского</w:t>
            </w:r>
            <w:proofErr w:type="spellEnd"/>
            <w:r w:rsidR="005016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Саратовской области».</w:t>
            </w:r>
            <w:r w:rsidR="00501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Постановление администрации </w:t>
            </w:r>
            <w:proofErr w:type="spellStart"/>
            <w:r w:rsidR="005016A9"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 w:rsidR="005016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от 06.06.2014 г. № 380 "Об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программ"</w:t>
            </w:r>
          </w:p>
        </w:tc>
      </w:tr>
      <w:tr w:rsidR="005016A9" w:rsidTr="00C7643B">
        <w:trPr>
          <w:trHeight w:val="750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Муниципальное учреждение« Централизованная бухгалтерия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016A9" w:rsidRDefault="005016A9" w:rsidP="00C7643B">
            <w:pPr>
              <w:pStyle w:val="a4"/>
              <w:spacing w:before="0" w:after="15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</w:tr>
      <w:tr w:rsidR="005016A9" w:rsidTr="00C7643B">
        <w:trPr>
          <w:trHeight w:val="750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016A9" w:rsidTr="00C7643B">
        <w:trPr>
          <w:trHeight w:val="1258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spacing w:before="105" w:after="105"/>
              <w:ind w:left="105"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ставит своей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финансово-экономических  функций и обеспечения бухгалтерского обслуживания муниципальных бюджетных общеобразовательных учреждений, муниципальных бюджетных дошкольных образовательных учреждений, муниципального учреждения дополнительного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области, муниципального казенного учреждения «ЭМС системы образования» </w:t>
            </w:r>
          </w:p>
        </w:tc>
      </w:tr>
      <w:tr w:rsidR="005016A9" w:rsidTr="00C7643B">
        <w:trPr>
          <w:trHeight w:val="750"/>
        </w:trPr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hd w:val="clear" w:color="auto" w:fill="FFFFFF"/>
              <w:snapToGrid w:val="0"/>
              <w:spacing w:before="0" w:after="15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      </w:r>
          </w:p>
          <w:p w:rsidR="005016A9" w:rsidRDefault="005016A9" w:rsidP="00C7643B">
            <w:pPr>
              <w:pStyle w:val="a4"/>
              <w:shd w:val="clear" w:color="auto" w:fill="FFFFFF"/>
              <w:spacing w:before="0" w:after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качественного контроля за правильным и целевым расходованием бюджетных 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внебюджетных средств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5016A9" w:rsidRDefault="005016A9" w:rsidP="00C7643B">
            <w:pPr>
              <w:pStyle w:val="a4"/>
              <w:shd w:val="clear" w:color="auto" w:fill="FFFFFF"/>
              <w:spacing w:before="0" w:after="15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обеспечение качественного выполнения обязательств по своевременной выплате заработной платы работникам, обслуживаемых учреждений, и других обязательств;</w:t>
            </w:r>
          </w:p>
          <w:p w:rsidR="005016A9" w:rsidRDefault="005016A9" w:rsidP="00C7643B">
            <w:pPr>
              <w:pStyle w:val="a4"/>
              <w:shd w:val="clear" w:color="auto" w:fill="FFFFFF"/>
              <w:spacing w:before="0" w:after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обеспечение качественного составления и предоставления свободной бухгалтерской отчетности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 налоговые органы, внебюджетные фонды, органы статистики, главному распорядителю средств;</w:t>
            </w:r>
          </w:p>
        </w:tc>
      </w:tr>
      <w:tr w:rsidR="005016A9" w:rsidTr="00C7643B">
        <w:trPr>
          <w:trHeight w:val="750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hd w:val="clear" w:color="auto" w:fill="FFFFFF"/>
              <w:snapToGrid w:val="0"/>
              <w:spacing w:before="0" w:after="15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уровень оснащенности компьютерной техникой и программным обеспечением, </w:t>
            </w:r>
            <w:proofErr w:type="gramStart"/>
            <w:r>
              <w:rPr>
                <w:sz w:val="28"/>
                <w:szCs w:val="28"/>
              </w:rPr>
              <w:t>соответствующими</w:t>
            </w:r>
            <w:proofErr w:type="gramEnd"/>
            <w:r>
              <w:rPr>
                <w:sz w:val="28"/>
                <w:szCs w:val="28"/>
              </w:rPr>
              <w:t xml:space="preserve"> современным требованиям бухгалтерского учета до  100 %;</w:t>
            </w:r>
          </w:p>
          <w:p w:rsidR="005016A9" w:rsidRDefault="005016A9" w:rsidP="00C7643B">
            <w:pPr>
              <w:pStyle w:val="a4"/>
              <w:shd w:val="clear" w:color="auto" w:fill="FFFFFF"/>
              <w:spacing w:before="0" w:after="15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количество представляемой отчетной документации ежегодно более 100 единиц;</w:t>
            </w:r>
          </w:p>
          <w:p w:rsidR="005016A9" w:rsidRDefault="005016A9" w:rsidP="00C7643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просроченной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кредиторская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муниципальных учреждений;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не отчитавшихся подотчетных лиц, получивших </w:t>
            </w:r>
            <w:r>
              <w:rPr>
                <w:sz w:val="28"/>
                <w:szCs w:val="28"/>
              </w:rPr>
              <w:lastRenderedPageBreak/>
              <w:t>денежные средства в подотчет;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не оплаченных документов по расчетам с поставщиками и подрядчиками;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Прирост дебиторской задолженности;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задолженности по налогам и сборам;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-21"/>
                <w:sz w:val="28"/>
                <w:szCs w:val="28"/>
              </w:rPr>
              <w:t>Соблюдение  установленных</w:t>
            </w:r>
            <w:r>
              <w:rPr>
                <w:spacing w:val="-5"/>
                <w:sz w:val="28"/>
                <w:szCs w:val="28"/>
              </w:rPr>
              <w:t xml:space="preserve"> сроков</w:t>
            </w:r>
            <w:r>
              <w:rPr>
                <w:spacing w:val="-21"/>
                <w:sz w:val="28"/>
                <w:szCs w:val="28"/>
              </w:rPr>
              <w:t xml:space="preserve">                                            </w:t>
            </w:r>
            <w:r>
              <w:rPr>
                <w:spacing w:val="-5"/>
                <w:sz w:val="28"/>
                <w:szCs w:val="28"/>
              </w:rPr>
              <w:t xml:space="preserve">     формирования </w:t>
            </w:r>
            <w:r>
              <w:rPr>
                <w:spacing w:val="-19"/>
                <w:sz w:val="28"/>
                <w:szCs w:val="28"/>
              </w:rPr>
              <w:t>и             представления             бухгалтерской  отчетности</w:t>
            </w:r>
            <w:r>
              <w:rPr>
                <w:sz w:val="28"/>
                <w:szCs w:val="28"/>
              </w:rPr>
              <w:t>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Качество </w:t>
            </w:r>
            <w:r>
              <w:rPr>
                <w:spacing w:val="-19"/>
                <w:sz w:val="28"/>
                <w:szCs w:val="28"/>
              </w:rPr>
              <w:t xml:space="preserve">налоговой  </w:t>
            </w:r>
            <w:r>
              <w:rPr>
                <w:sz w:val="28"/>
                <w:szCs w:val="28"/>
              </w:rPr>
              <w:t>отчетности, представляемой в налоговый орган;</w:t>
            </w:r>
          </w:p>
          <w:p w:rsidR="005016A9" w:rsidRDefault="005016A9" w:rsidP="00C7643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учреждений, прошедших инвентаризацию;</w:t>
            </w:r>
          </w:p>
          <w:p w:rsidR="005016A9" w:rsidRDefault="005016A9" w:rsidP="00C7643B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обеспечению с 01.01.2020 года месячной заработной платы некоторых категорий работников муниципальных учреждений и (или) органов местного самоуправления, полностью отработавших за этот период норму рабочего времени и выполнивших норму труда, с 01 января 2020 года в размере не менее 12130 рублей.</w:t>
            </w:r>
          </w:p>
          <w:p w:rsidR="005016A9" w:rsidRDefault="005016A9" w:rsidP="005016A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работников муниципальных учреждений, заработная плата которых за полную отработку за месяц нормы рабочего времени и выполнение нормы труда (трудовых обязанностей) в 2020 году ниже 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 xml:space="preserve"> — 0 человек.</w:t>
            </w:r>
          </w:p>
        </w:tc>
      </w:tr>
      <w:tr w:rsidR="005016A9" w:rsidTr="00C7643B">
        <w:trPr>
          <w:trHeight w:val="750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 Программы</w:t>
            </w:r>
          </w:p>
        </w:tc>
        <w:tc>
          <w:tcPr>
            <w:tcW w:w="7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spacing w:before="105" w:after="105"/>
              <w:ind w:left="105" w:right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 – 2020-2022 год.</w:t>
            </w:r>
          </w:p>
          <w:p w:rsidR="005016A9" w:rsidRDefault="005016A9" w:rsidP="00C7643B">
            <w:pPr>
              <w:spacing w:before="105" w:after="105"/>
              <w:ind w:left="105" w:right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реализации Программы не выделяются в связи с тем, что ежегодно предусматривается реализация взаимосвязанных комплексов мероприятий.</w:t>
            </w:r>
          </w:p>
        </w:tc>
      </w:tr>
      <w:tr w:rsidR="005016A9" w:rsidTr="00C7643B">
        <w:trPr>
          <w:trHeight w:val="750"/>
        </w:trPr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7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Общая сумма финансовых средств на реализацию Программы: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 2020 год составляет — 4935691,59 рублей (четыре миллиона девятьсот тридцать пять шестьсот девяносто один рубль 59 копеек), в т.ч.: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- 3979583,34 рублей (три миллиона девятьсот семьдесят девять тысяч пятьсот восемьдесят три рубля 34 копейки) из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- 956108,25 рублей (девятьсот пятьдесят шесть тысяч сто восемь рублей 25 копеек) за счет субсидий из  областного бюджета Саратовской области; 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на 2021 год – 4932763,62 рублей (четыре миллиона девятьсот тридцать две тысячи семьсот шестьдесят три рубля  62 копейки), в т.ч.: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3947219,03 рублей (три миллиона девятьсот сорок семь тысяч двести девятнадцать рублей 03 копеек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средств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- 965108,25 (девятьсот шестьдесят пять тысяч сто восемь рублей 25 копеек) за счет субсидий из  областного бюджета Саратовской области; 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на 2022 год – 5105935,39 рублей (пять миллионов сто пять тысяч девятьсот тридцать пять рублей 42 копейки), в т.ч.: 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4109490,80 рублей (четыре миллиона сто девять тысяч четыреста девяносто рублей 80 копеек) из средств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- 976808,25 рублей (девятьсот семьдесят шесть тысяч восемьсот восемь рублей 25 копеек) за счет субсидий из  областного бюджета Саратовской области; </w:t>
            </w:r>
          </w:p>
        </w:tc>
      </w:tr>
      <w:tr w:rsidR="005016A9" w:rsidTr="00C7643B">
        <w:trPr>
          <w:trHeight w:val="1260"/>
        </w:trPr>
        <w:tc>
          <w:tcPr>
            <w:tcW w:w="28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150" w:line="33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 Обеспечение качественной организации и ведения бухгалтерского и налогового учёта и отчетности.</w:t>
            </w:r>
          </w:p>
          <w:p w:rsidR="005016A9" w:rsidRDefault="005016A9" w:rsidP="00C7643B">
            <w:pPr>
              <w:pStyle w:val="a4"/>
              <w:spacing w:before="0" w:after="150" w:line="33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      </w:r>
          </w:p>
          <w:p w:rsidR="005016A9" w:rsidRDefault="005016A9" w:rsidP="00C7643B">
            <w:pPr>
              <w:pStyle w:val="a4"/>
              <w:spacing w:before="0" w:after="150" w:line="330" w:lineRule="atLeast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Повышению качества оказываемых услуг по организации бухгалтерского учёта.</w:t>
            </w:r>
          </w:p>
          <w:p w:rsidR="005016A9" w:rsidRDefault="005016A9" w:rsidP="00C7643B"/>
        </w:tc>
      </w:tr>
      <w:tr w:rsidR="005016A9" w:rsidTr="00C7643B">
        <w:trPr>
          <w:trHeight w:val="1807"/>
        </w:trPr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pStyle w:val="a4"/>
              <w:snapToGrid w:val="0"/>
              <w:spacing w:before="0" w:after="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 контроля над исполнителем программы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исполнением программы осуществляется учредителем в лице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Саратовской области</w:t>
            </w:r>
          </w:p>
        </w:tc>
      </w:tr>
    </w:tbl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1  «Содержание проблемы и обоснование необходимости её решения программными методами»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ходе выполнения муниципальной  Программы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униципального учреждения« Централизованная бухгалтерия отдела образования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области» на 2020-2022 г.г.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 будут реализованы проекты и мероприятия в области повышения качества выполняемых функций, повышение эффективности и результативности деятельности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униципального учреждения «Централизованная бухгалтерия отдела образования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ведению бюджетного и налогового учета и отчетности.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Программы будет способствовать решению вопросов, отнесенных к компетенции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униципального учреждения «Централизованная бухгалтерия отдела образования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позволит обеспечить ее функционирование и предоставление бухгалтерских услуг следующим учреждениям: 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МУ «Централизованная бухгалтерия отдела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Муниципальное казенное учреждение «Эксплуатационно-методическая служба системы образования»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Саратовской области    4. Муниципальное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Большая Дмитриевка»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Муниципальное бюджетное образовательное учреждение «Основная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Муниципальное бюджетное образовательное учреждение «Средняя общеобразовательная школа №1 р.п. Лысые Горы»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Муниципальное бюджетное образовательное учреждение «Средняя общеобразовательная школа №2 р.п. Лысые Горы 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Муниципальное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Рельня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Муниципальное бюджетное образовательное учреждение «Средняя общеобразовательная школа с. Большие Копены»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Муниципальное бюджетное 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Бутырки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Муниципальное бюджетное образовательное учреждение «Основная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Двоенки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Муниципальное бюджетное образовательное учреждение «Средняя общеобразовательная школа с. Ключи»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Муниципальное бюджетное 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Невежкино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 Муниципальное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Новая Красавка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   Муниципальное бюджетное образовательное учреждение «Средняя общеобразовательная школа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Октябрьский</w:t>
      </w:r>
      <w:proofErr w:type="gramEnd"/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  Муниципальное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Раздольное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    Муниципальное бюджетное образовательное учреждение «Средняя общеобразовательная школа с. Урицкое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      Муниципальное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Шереметьевка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     Муниципальное бюджетное образовательное учреждение «Средняя общеобразовательная школа с. Широкий Карамыш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      Муниципальное бюджетное образовательное учреждение «Средняя общеобразовательная школа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Яблочный</w:t>
      </w:r>
      <w:proofErr w:type="gramEnd"/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  Муниципальное бюджетное 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Чадаевка</w:t>
      </w:r>
      <w:proofErr w:type="spellEnd"/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22.   Муниципальное бюджетное образовательное учреждение «Основная общеобразовательная школа с.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Юнгеровка</w:t>
      </w:r>
      <w:proofErr w:type="spellEnd"/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   Муниципальное бюджетное  дошкольное образовательное учреждение «Березка» р.п. Лысые горы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   Муниципальное бюджетное  дошкольное образовательное учреждение «Радуга» р.п. Лысые горы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Муниципальное бюджетное  дошкольное образовательное учреждение «Светлячок» р.п. Лысые горы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Муниципальное бюджетное  дошкольное образовательное учреждение «Колокольчик» с. Широкий Карамыш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 Муниципальное бюджетное  дошкольное образовательное учреждение «Калинка»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Большая Каменка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Муниципальное бюджетное  дошкольное образовательное учреждение «Тополек» с. Ключи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Муниципальное бюджетное  дошкольное образовательное учреждение «Малыш»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Новая Красавка</w:t>
      </w:r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Муниципальное бюджетное  дошкольное образовательное учреждение «Золотой петушок»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Бутырки</w:t>
      </w:r>
      <w:proofErr w:type="spellEnd"/>
    </w:p>
    <w:p w:rsidR="005016A9" w:rsidRDefault="005016A9" w:rsidP="005016A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 Муниципальное бюджетное учреждение дополнительного образования «Центр дополнительного образования для детей» р.п. Лысые горы Саратовской области.</w:t>
      </w:r>
    </w:p>
    <w:p w:rsidR="005016A9" w:rsidRDefault="005016A9" w:rsidP="005016A9">
      <w:pPr>
        <w:spacing w:before="280" w:after="28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 «Основные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цели и задачи муниципальной Программы»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Программа ставит своей целью обеспечение бухгалтерского учёта в  муниципальных бюджетных общеобразовательных учреждениях, муниципальных бюджетных дошкольных образовательных учреждениях, муниципальном учреждении дополнительного образования, отделе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муниципальном казенном учреждении «ЭМС системы образования» 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</w:r>
    </w:p>
    <w:p w:rsidR="005016A9" w:rsidRDefault="005016A9" w:rsidP="005016A9">
      <w:pPr>
        <w:pStyle w:val="a4"/>
        <w:shd w:val="clear" w:color="auto" w:fill="FFFFFF"/>
        <w:spacing w:before="0" w:after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2) обеспечение качественного контроля за правильным и целевым расходованием бюджетных 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внебюджетных средств за наличием и движением имущества, использованием товарно-материальных ценностей, трудовых и финансовых ресурсов;</w:t>
      </w:r>
    </w:p>
    <w:p w:rsidR="005016A9" w:rsidRDefault="005016A9" w:rsidP="005016A9">
      <w:pPr>
        <w:pStyle w:val="a4"/>
        <w:shd w:val="clear" w:color="auto" w:fill="FFFFFF"/>
        <w:spacing w:before="0" w:after="0" w:line="330" w:lineRule="atLeast"/>
        <w:jc w:val="both"/>
        <w:textAlignment w:val="baseline"/>
        <w:rPr>
          <w:sz w:val="28"/>
          <w:szCs w:val="28"/>
        </w:rPr>
      </w:pP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</w:r>
    </w:p>
    <w:p w:rsidR="005016A9" w:rsidRDefault="005016A9" w:rsidP="005016A9">
      <w:pPr>
        <w:pStyle w:val="a4"/>
        <w:shd w:val="clear" w:color="auto" w:fill="FFFFFF"/>
        <w:spacing w:before="0" w:after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обеспечение качественного составления и предоставления свободной бухгалтерской отчетности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налоговые органы, внебюджетные фонды, органы статистики, главному распорядителю средств;</w:t>
      </w:r>
    </w:p>
    <w:p w:rsidR="005016A9" w:rsidRDefault="005016A9" w:rsidP="005016A9">
      <w:pPr>
        <w:pStyle w:val="a4"/>
        <w:shd w:val="clear" w:color="auto" w:fill="FFFFFF"/>
        <w:spacing w:before="0" w:after="0" w:line="330" w:lineRule="atLeast"/>
        <w:jc w:val="both"/>
        <w:textAlignment w:val="baseline"/>
        <w:rPr>
          <w:sz w:val="28"/>
          <w:szCs w:val="28"/>
        </w:rPr>
      </w:pP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повышение качества выполняемых функций.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Значение показателей задач: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повышение качества выполняемых функций;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повышение эффективности и результативности деятельности м</w:t>
      </w:r>
      <w:r>
        <w:rPr>
          <w:bCs/>
          <w:sz w:val="28"/>
          <w:szCs w:val="28"/>
        </w:rPr>
        <w:t xml:space="preserve">униципального учреждения «Централизованная бухгалтерия отдела образования администрации </w:t>
      </w:r>
      <w:proofErr w:type="spellStart"/>
      <w:r>
        <w:rPr>
          <w:bCs/>
          <w:sz w:val="28"/>
          <w:szCs w:val="28"/>
        </w:rPr>
        <w:t>Лысогорского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области» </w:t>
      </w:r>
      <w:r>
        <w:rPr>
          <w:sz w:val="28"/>
          <w:szCs w:val="28"/>
        </w:rPr>
        <w:t>по ведению бюджетного и налогового учета и отчетности.</w:t>
      </w:r>
    </w:p>
    <w:p w:rsidR="005016A9" w:rsidRDefault="005016A9" w:rsidP="005016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3 «Сроки и этапы реализации муниципальной Программы »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 – 2020-2022 год.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Этапы реализации Программы не выделяются в связи с тем, что ежегодно предусматривается реализация взаимосвязанных комплексов мероприятий.</w:t>
      </w: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4 «Система мероприятий муниципальной Программы »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 мероприятиям Программы средства распределяются:</w:t>
      </w:r>
    </w:p>
    <w:tbl>
      <w:tblPr>
        <w:tblW w:w="0" w:type="auto"/>
        <w:tblInd w:w="35" w:type="dxa"/>
        <w:tblLayout w:type="fixed"/>
        <w:tblCellMar>
          <w:left w:w="103" w:type="dxa"/>
        </w:tblCellMar>
        <w:tblLook w:val="0000"/>
      </w:tblPr>
      <w:tblGrid>
        <w:gridCol w:w="3810"/>
        <w:gridCol w:w="2070"/>
        <w:gridCol w:w="1440"/>
        <w:gridCol w:w="1410"/>
        <w:gridCol w:w="1323"/>
      </w:tblGrid>
      <w:tr w:rsidR="005016A9" w:rsidTr="00C7643B">
        <w:trPr>
          <w:cantSplit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5016A9" w:rsidRDefault="005016A9" w:rsidP="00C76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 руб.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 руб.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 руб.</w:t>
            </w:r>
          </w:p>
        </w:tc>
      </w:tr>
      <w:tr w:rsidR="005016A9" w:rsidTr="00C7643B">
        <w:trPr>
          <w:cantSplit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1.Расходы на обеспечение деятельности централизованных учреждений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3959947,00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3947219,03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4109490,80</w:t>
            </w:r>
          </w:p>
        </w:tc>
      </w:tr>
      <w:tr w:rsidR="005016A9" w:rsidTr="00C7643B">
        <w:trPr>
          <w:cantSplit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 Саратовской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168400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173900</w:t>
            </w:r>
          </w:p>
        </w:tc>
      </w:tr>
      <w:tr w:rsidR="005016A9" w:rsidTr="00C7643B">
        <w:trPr>
          <w:cantSplit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реализующие общеобразовательные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162600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168000</w:t>
            </w:r>
          </w:p>
        </w:tc>
      </w:tr>
      <w:tr w:rsidR="005016A9" w:rsidTr="00C7643B">
        <w:trPr>
          <w:cantSplit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областного бюджета Саратовской области</w:t>
            </w: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634908,25</w:t>
            </w:r>
          </w:p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19636,34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634908, 25</w:t>
            </w: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19636,34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634908,25</w:t>
            </w: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19636,34</w:t>
            </w:r>
          </w:p>
        </w:tc>
      </w:tr>
      <w:tr w:rsidR="005016A9" w:rsidTr="00C7643B">
        <w:trPr>
          <w:cantSplit/>
        </w:trPr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4935691,59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4932763,62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5105935,39</w:t>
            </w:r>
          </w:p>
        </w:tc>
      </w:tr>
    </w:tbl>
    <w:p w:rsidR="005016A9" w:rsidRDefault="005016A9" w:rsidP="005016A9">
      <w:pPr>
        <w:spacing w:before="280" w:after="280"/>
        <w:rPr>
          <w:rFonts w:ascii="Tahoma" w:eastAsia="Tahoma" w:hAnsi="Tahoma" w:cs="Tahoma"/>
          <w:color w:val="304855"/>
          <w:sz w:val="28"/>
          <w:szCs w:val="28"/>
          <w:shd w:val="clear" w:color="auto" w:fill="FFFFFF"/>
        </w:rPr>
      </w:pPr>
      <w:r>
        <w:rPr>
          <w:rFonts w:ascii="Tahoma" w:eastAsia="Tahoma" w:hAnsi="Tahoma" w:cs="Tahoma"/>
          <w:color w:val="304855"/>
          <w:sz w:val="28"/>
          <w:szCs w:val="28"/>
          <w:shd w:val="clear" w:color="auto" w:fill="FFFFFF"/>
        </w:rPr>
        <w:lastRenderedPageBreak/>
        <w:t xml:space="preserve"> </w:t>
      </w: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5 «Финансовое  обеспечение Муниципальной Программы»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сумма финансовых средств на реализацию Программы: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1.на 2020 год составляет — 4935691,59 рублей (четыре миллиона девятьсот тридцать пять тысяч шестьсот девяносто один рубль 59 копеек), в т.ч.: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- 3979583,34 рублей (три миллиона девятьсот семьдесят девять тысяч пятьсот восемьдесят три рубля 34 копейки) из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- 956108,25 рублей (девятьсот пятьдесят шесть тысяч сто восемь рубль 25 копеек) за счет субсидий из  областного бюджета Саратовской области; 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на 2021 год – 4932763,62 рублей (четыре миллиона девятьсот тридцать две тысячи семьсот шестьдесят три рубля 62 копейки), в т.ч.: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3966855,37 рублей (три миллиона девятьсот шестьдесят шесть тысяч восемьсот пятьдесят пять рублей 37 копеек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- 965908,25 (девятьсот шестьдесят пять тысяч девятьсот восемь рублей 25 копеек) за счет субсидий из  областного бюджета Саратовской области; 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 2022 год – 5105935,39 рублей (пять миллионов сто пять тысяч  девятьсот тридцать пять рублей 39 копеек), в т.ч.: 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4129127,14 рублей (четыре миллиона сто двадцать девять тысяч сто  двадцать семь рублей 14 копеек) из средств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5016A9" w:rsidRDefault="005016A9" w:rsidP="00501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- 976808,25 рублей (девятьсот семьдесят шесть тысяч восемьсот восемь  рублей 25 копеек) за счет субсидий из  областного бюджета Саратовской области; </w:t>
      </w: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6 «Организация управления и механизм реализации муниципальной Программы »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Программа будет реализована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униципальным учреждением «Централизованная бухгалтерия отдела образования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применения оптимальных методов управления процессами реализации,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исходя из содержания Программы. Порядок и условия реализации Программы определяются нормативно-правовыми актами администрации района в соответствии с федеральным законодательством и областными законами. </w:t>
      </w:r>
    </w:p>
    <w:p w:rsidR="005016A9" w:rsidRDefault="005016A9" w:rsidP="005016A9">
      <w:pPr>
        <w:spacing w:before="105" w:after="105"/>
        <w:ind w:left="105" w:right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 7 «Ожидаемые результаты реализации муниципальной Программы»   </w:t>
      </w:r>
    </w:p>
    <w:p w:rsidR="005016A9" w:rsidRDefault="005016A9" w:rsidP="005016A9">
      <w:pPr>
        <w:pStyle w:val="a4"/>
        <w:spacing w:before="0" w:after="15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 основе оценки результатов выполнения Программы будет использоваться комплексная оценка выполнения целевых показателей деятельности м</w:t>
      </w:r>
      <w:r>
        <w:rPr>
          <w:bCs/>
          <w:sz w:val="28"/>
          <w:szCs w:val="28"/>
        </w:rPr>
        <w:t xml:space="preserve">униципального учреждения «Централизованная бухгалтерия отдела образования администрации </w:t>
      </w:r>
      <w:proofErr w:type="spellStart"/>
      <w:r>
        <w:rPr>
          <w:bCs/>
          <w:sz w:val="28"/>
          <w:szCs w:val="28"/>
        </w:rPr>
        <w:t>Лысогорского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proofErr w:type="gramStart"/>
      <w:r>
        <w:rPr>
          <w:bCs/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н</w:t>
      </w:r>
      <w:proofErr w:type="gramEnd"/>
      <w:r>
        <w:rPr>
          <w:sz w:val="28"/>
          <w:szCs w:val="28"/>
          <w:shd w:val="clear" w:color="auto" w:fill="FFFFFF"/>
        </w:rPr>
        <w:t>а 2020-2022 г.г.</w:t>
      </w:r>
    </w:p>
    <w:p w:rsidR="005016A9" w:rsidRDefault="005016A9" w:rsidP="005016A9">
      <w:pPr>
        <w:pStyle w:val="a4"/>
        <w:spacing w:before="0" w:after="15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Обеспечение качественной организации и ведения бухгалтерского и налогового учёта и отчетности.</w:t>
      </w:r>
    </w:p>
    <w:p w:rsidR="005016A9" w:rsidRDefault="005016A9" w:rsidP="005016A9">
      <w:pPr>
        <w:pStyle w:val="a4"/>
        <w:spacing w:before="0" w:after="15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5016A9" w:rsidRDefault="005016A9" w:rsidP="005016A9">
      <w:pPr>
        <w:pStyle w:val="a4"/>
        <w:spacing w:before="0" w:after="150" w:line="33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Повышению качества оказываемых услуг по организации бухгалтерского учёта.</w:t>
      </w:r>
    </w:p>
    <w:p w:rsidR="005016A9" w:rsidRDefault="005016A9" w:rsidP="005016A9">
      <w:pPr>
        <w:pStyle w:val="a4"/>
        <w:spacing w:before="0"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Перечень целевых индикаторов приведён в таблице.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2653"/>
        <w:gridCol w:w="767"/>
        <w:gridCol w:w="1875"/>
        <w:gridCol w:w="1860"/>
        <w:gridCol w:w="1762"/>
      </w:tblGrid>
      <w:tr w:rsidR="005016A9" w:rsidTr="00C7643B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базового показателя 2020 года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базового показателя 2021 года</w:t>
            </w:r>
          </w:p>
        </w:tc>
        <w:tc>
          <w:tcPr>
            <w:tcW w:w="1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базового показателя 2022 года</w:t>
            </w:r>
          </w:p>
        </w:tc>
      </w:tr>
      <w:tr w:rsidR="005016A9" w:rsidTr="00C7643B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оснащенности компьютерной техникой и программным обеспечением,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современным требованиям бухгалтерского учета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5016A9" w:rsidTr="00C7643B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представляемой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отчетной документации ежегодно</w:t>
            </w:r>
          </w:p>
        </w:tc>
        <w:tc>
          <w:tcPr>
            <w:tcW w:w="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Более 100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Более 100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16A9" w:rsidRDefault="005016A9" w:rsidP="00C7643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Более 100</w:t>
            </w:r>
          </w:p>
        </w:tc>
      </w:tr>
    </w:tbl>
    <w:p w:rsidR="005016A9" w:rsidRDefault="005016A9" w:rsidP="005016A9">
      <w:pPr>
        <w:shd w:val="clear" w:color="auto" w:fill="FFFFFF"/>
        <w:textAlignment w:val="top"/>
      </w:pPr>
    </w:p>
    <w:p w:rsidR="005016A9" w:rsidRDefault="005016A9" w:rsidP="005016A9">
      <w:pPr>
        <w:shd w:val="clear" w:color="auto" w:fill="FFFFFF"/>
        <w:jc w:val="center"/>
        <w:textAlignment w:val="top"/>
      </w:pPr>
    </w:p>
    <w:p w:rsidR="005016A9" w:rsidRDefault="005016A9" w:rsidP="005016A9">
      <w:pPr>
        <w:shd w:val="clear" w:color="auto" w:fill="FFFFFF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8 «Финансово-экономическое обоснование муниципальной Программы»</w:t>
      </w:r>
    </w:p>
    <w:p w:rsidR="005016A9" w:rsidRDefault="005016A9" w:rsidP="005016A9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35" w:type="dxa"/>
        <w:tblLayout w:type="fixed"/>
        <w:tblCellMar>
          <w:left w:w="103" w:type="dxa"/>
        </w:tblCellMar>
        <w:tblLook w:val="0000"/>
      </w:tblPr>
      <w:tblGrid>
        <w:gridCol w:w="2276"/>
        <w:gridCol w:w="68"/>
        <w:gridCol w:w="1321"/>
        <w:gridCol w:w="1053"/>
        <w:gridCol w:w="1321"/>
        <w:gridCol w:w="1053"/>
        <w:gridCol w:w="1321"/>
        <w:gridCol w:w="1183"/>
      </w:tblGrid>
      <w:tr w:rsidR="005016A9" w:rsidTr="00C7643B">
        <w:trPr>
          <w:cantSplit/>
          <w:trHeight w:val="1596"/>
        </w:trPr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  <w:p w:rsidR="005016A9" w:rsidRDefault="005016A9" w:rsidP="00C76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руб.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  <w:p w:rsidR="005016A9" w:rsidRDefault="005016A9" w:rsidP="00C7643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 руб.</w:t>
            </w:r>
          </w:p>
        </w:tc>
      </w:tr>
      <w:tr w:rsidR="005016A9" w:rsidTr="00C7643B">
        <w:trPr>
          <w:cantSplit/>
          <w:trHeight w:val="316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областного бюджета Саратовской области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областного бюджета Саратовской области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областного бюджета Саратовской области</w:t>
            </w:r>
          </w:p>
        </w:tc>
      </w:tr>
      <w:tr w:rsidR="005016A9" w:rsidTr="00C7643B">
        <w:trPr>
          <w:cantSplit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1.Расходы на обеспечение деятельности централизованных учреждений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3959947,00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3947219,03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4109490,80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16A9" w:rsidTr="00C7643B">
        <w:trPr>
          <w:cantSplit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173900</w:t>
            </w:r>
          </w:p>
        </w:tc>
      </w:tr>
      <w:tr w:rsidR="005016A9" w:rsidTr="00C7643B">
        <w:trPr>
          <w:cantSplit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реализующие общеобразовательные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168000</w:t>
            </w:r>
          </w:p>
        </w:tc>
      </w:tr>
      <w:tr w:rsidR="005016A9" w:rsidTr="00C7643B">
        <w:trPr>
          <w:cantSplit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19636,34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634908,25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19636,34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634908,25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19636,34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634908,25</w:t>
            </w:r>
          </w:p>
        </w:tc>
      </w:tr>
      <w:tr w:rsidR="005016A9" w:rsidTr="00C7643B">
        <w:trPr>
          <w:cantSplit/>
          <w:trHeight w:val="2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ИТГО: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spacing w:before="105" w:after="105"/>
              <w:ind w:right="10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3979583,34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956108,25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3966855,37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965108,25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tabs>
                <w:tab w:val="left" w:pos="732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4129127,14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9" w:rsidRDefault="005016A9" w:rsidP="00C7643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976808,25</w:t>
            </w:r>
          </w:p>
        </w:tc>
      </w:tr>
    </w:tbl>
    <w:p w:rsidR="005016A9" w:rsidRDefault="005016A9" w:rsidP="005016A9">
      <w:pPr>
        <w:shd w:val="clear" w:color="auto" w:fill="FFFFFF"/>
        <w:ind w:firstLine="709"/>
        <w:jc w:val="center"/>
        <w:textAlignment w:val="top"/>
      </w:pPr>
    </w:p>
    <w:p w:rsidR="005016A9" w:rsidRDefault="005016A9" w:rsidP="005016A9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16A9" w:rsidRDefault="005016A9" w:rsidP="005016A9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9  «Методика оценки эффективности муниципальной Программы»</w:t>
      </w:r>
    </w:p>
    <w:p w:rsidR="005016A9" w:rsidRDefault="005016A9" w:rsidP="005016A9">
      <w:pPr>
        <w:shd w:val="clear" w:color="auto" w:fill="FFFFFF"/>
        <w:ind w:firstLine="709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Оценка эффективности реализации программы производится путём сравнения фактически достигнутых в результате реализации программы индикаторов и показателей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запланированными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фактического выполнения мероприятий программы с запланированной программой.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оценки эффективности Программы применяются следующие показатели: 1. Уровень оснащенности компьютерной техникой и программным обеспечением, соответствующими современным требованиям бухгалтерского учета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 =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100%,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где: U – уровень оснащенности компьютерной техникой и программным обеспечением,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бухгалтерского учета,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компьютерной техники и программ, соответствующих современным требованиям бухгалтерского учета,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общее количество компьютерной техники и программ.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Увеличение объема финансовых средств, подлежащих учету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U=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*100%,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где: U - ежегодный рост объема финансовых средств, подлежащих учету,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объем финансовых средств, подлежащих учету в отчётном году, </w:t>
      </w:r>
    </w:p>
    <w:p w:rsidR="005016A9" w:rsidRDefault="005016A9" w:rsidP="005016A9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объем финансовых средств, подлежащих учету в предыдущем году.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бюджетных услуг предполагает сопоставление полученных результатов с ресурсами, потраченными на их достижение. В соответствии с технологией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ориентированного</w:t>
      </w:r>
      <w:proofErr w:type="gramEnd"/>
      <w:r>
        <w:rPr>
          <w:sz w:val="28"/>
          <w:szCs w:val="28"/>
        </w:rPr>
        <w:t xml:space="preserve"> на результат, оценивать качество бюджетных услуг возможно по трем аспектам: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качество структуры (уровень укомплектованности, квалификация работников, организация работы персонала и т. д.);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качество процесса (соблюдение стандартов оказания услуги, соблюдение финансовой дисциплины, отсутствие нарушений бюджетного и налогового законодательства, уровень исполнительской дисциплины; техническая обеспеченность процесса и качество программного продукта и др.);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качество конечного результата (экономическая и социальная эффективность).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экономической эффективности заключается в экономии расходов при сохранении прежнего объёма услуг или увеличении объёма услуг при сохранении того же объёма финансирования.</w:t>
      </w:r>
    </w:p>
    <w:p w:rsidR="005016A9" w:rsidRDefault="005016A9" w:rsidP="005016A9">
      <w:pPr>
        <w:pStyle w:val="a4"/>
        <w:shd w:val="clear" w:color="auto" w:fill="FFFFFF"/>
        <w:spacing w:before="0" w:after="150" w:line="330" w:lineRule="atLeast"/>
        <w:jc w:val="both"/>
        <w:textAlignment w:val="baseline"/>
        <w:rPr>
          <w:sz w:val="28"/>
          <w:szCs w:val="28"/>
        </w:rPr>
      </w:pPr>
    </w:p>
    <w:p w:rsidR="005016A9" w:rsidRDefault="005016A9" w:rsidP="005016A9">
      <w:pPr>
        <w:spacing w:before="280" w:after="2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10.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ходом реализации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муниципальной Программы   </w:t>
      </w:r>
    </w:p>
    <w:p w:rsidR="005016A9" w:rsidRDefault="005016A9" w:rsidP="005016A9">
      <w:pPr>
        <w:spacing w:before="280"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6A9" w:rsidRDefault="005016A9" w:rsidP="005016A9">
      <w:pPr>
        <w:spacing w:before="280"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Ежегодный мониторинг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контроль,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ходом исполнения программы, осуществляет экономическое управление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 соответствии с постановлением администрации от 06 июня 2014 года №380 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программ».</w:t>
      </w:r>
    </w:p>
    <w:p w:rsidR="005016A9" w:rsidRDefault="005016A9" w:rsidP="005016A9">
      <w:pPr>
        <w:spacing w:before="280"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Заказчик программы ежегодно уточняет объем финансирования программы.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Контроль,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реализацией мероприятий программы, осуществляется финансовым управлением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района. Участники реализации Программы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отчитываются об исполнении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финансовых средств перед финансовым управлением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установленном порядке. Основной механизм выполнения Программы — ежеквартальная отчетность.</w:t>
      </w:r>
    </w:p>
    <w:p w:rsidR="005016A9" w:rsidRDefault="005016A9" w:rsidP="005016A9">
      <w:pPr>
        <w:spacing w:before="280"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6A9" w:rsidRDefault="005016A9" w:rsidP="005016A9">
      <w:pPr>
        <w:suppressAutoHyphens/>
        <w:spacing w:before="28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6A9" w:rsidRDefault="005016A9" w:rsidP="005016A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6A9" w:rsidRDefault="005016A9" w:rsidP="005016A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Лысогорского</w:t>
      </w:r>
      <w:proofErr w:type="spellEnd"/>
    </w:p>
    <w:p w:rsidR="005016A9" w:rsidRDefault="005016A9" w:rsidP="005016A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С.А.Девличаров</w:t>
      </w:r>
      <w:proofErr w:type="spellEnd"/>
    </w:p>
    <w:p w:rsidR="005016A9" w:rsidRDefault="0050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F5333" w:rsidRDefault="003F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sectPr w:rsidR="003F5333" w:rsidSect="00E8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>
    <w:nsid w:val="432F3390"/>
    <w:multiLevelType w:val="multilevel"/>
    <w:tmpl w:val="1452C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32AE2"/>
    <w:multiLevelType w:val="hybridMultilevel"/>
    <w:tmpl w:val="29AAAF02"/>
    <w:lvl w:ilvl="0" w:tplc="9BF2201C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333"/>
    <w:rsid w:val="00080F03"/>
    <w:rsid w:val="003F5333"/>
    <w:rsid w:val="005016A9"/>
    <w:rsid w:val="00E8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6A9"/>
  </w:style>
  <w:style w:type="character" w:styleId="a3">
    <w:name w:val="Hyperlink"/>
    <w:rsid w:val="005016A9"/>
    <w:rPr>
      <w:color w:val="000080"/>
      <w:u w:val="single"/>
    </w:rPr>
  </w:style>
  <w:style w:type="paragraph" w:styleId="a4">
    <w:name w:val="Normal (Web)"/>
    <w:basedOn w:val="a"/>
    <w:rsid w:val="005016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5016A9"/>
    <w:pPr>
      <w:suppressLineNumbers/>
      <w:suppressAutoHyphens/>
      <w:spacing w:after="0" w:line="240" w:lineRule="auto"/>
    </w:pPr>
    <w:rPr>
      <w:rFonts w:ascii="Candara" w:eastAsia="Times New Roman" w:hAnsi="Candara" w:cs="Candara"/>
      <w:color w:val="99CCFF"/>
      <w:sz w:val="40"/>
      <w:szCs w:val="40"/>
      <w:lang w:eastAsia="ar-SA"/>
    </w:rPr>
  </w:style>
  <w:style w:type="paragraph" w:styleId="a6">
    <w:name w:val="List Paragraph"/>
    <w:basedOn w:val="a"/>
    <w:uiPriority w:val="34"/>
    <w:qFormat/>
    <w:rsid w:val="00501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6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3615</Words>
  <Characters>20611</Characters>
  <Application>Microsoft Office Word</Application>
  <DocSecurity>0</DocSecurity>
  <Lines>171</Lines>
  <Paragraphs>48</Paragraphs>
  <ScaleCrop>false</ScaleCrop>
  <Company>Администрация</Company>
  <LinksUpToDate>false</LinksUpToDate>
  <CharactersWithSpaces>24178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5</cp:revision>
  <dcterms:created xsi:type="dcterms:W3CDTF">2019-12-04T11:30:00Z</dcterms:created>
  <dcterms:modified xsi:type="dcterms:W3CDTF">2019-12-04T11:34:00Z</dcterms:modified>
</cp:coreProperties>
</file>