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9C5461">
        <w:tc>
          <w:tcPr>
            <w:tcW w:w="9464" w:type="dxa"/>
          </w:tcPr>
          <w:p w:rsidR="009C5461" w:rsidRDefault="006D08A2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1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461">
        <w:tc>
          <w:tcPr>
            <w:tcW w:w="9464" w:type="dxa"/>
          </w:tcPr>
          <w:p w:rsidR="009C5461" w:rsidRDefault="006D08A2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ЛЫСОГОРСКОГО МУНИЦИПАЛЬНОГО РАЙОНА</w:t>
            </w:r>
          </w:p>
          <w:p w:rsidR="009C5461" w:rsidRDefault="006D08A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САРАТОВСКОЙ ОБЛАСТИ</w:t>
            </w:r>
          </w:p>
          <w:p w:rsidR="009C5461" w:rsidRDefault="009C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5461">
        <w:trPr>
          <w:trHeight w:val="794"/>
        </w:trPr>
        <w:tc>
          <w:tcPr>
            <w:tcW w:w="9464" w:type="dxa"/>
          </w:tcPr>
          <w:p w:rsidR="009C5461" w:rsidRDefault="006D08A2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9C5461" w:rsidRDefault="009C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461">
        <w:tc>
          <w:tcPr>
            <w:tcW w:w="9464" w:type="dxa"/>
          </w:tcPr>
          <w:p w:rsidR="009C5461" w:rsidRDefault="006D08A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декабря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 №</w:t>
            </w:r>
            <w:r w:rsidR="00DB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</w:tr>
      <w:tr w:rsidR="009C5461">
        <w:tc>
          <w:tcPr>
            <w:tcW w:w="9464" w:type="dxa"/>
          </w:tcPr>
          <w:p w:rsidR="009C5461" w:rsidRDefault="009C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461" w:rsidRDefault="006D08A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р.п.Лысые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Горы</w:t>
            </w:r>
          </w:p>
          <w:p w:rsidR="009C5461" w:rsidRDefault="009C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461">
        <w:tc>
          <w:tcPr>
            <w:tcW w:w="9464" w:type="dxa"/>
          </w:tcPr>
          <w:p w:rsidR="009C5461" w:rsidRDefault="006D08A2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«Организация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образовательными организациями Лысогорского муниципального района</w:t>
            </w:r>
            <w: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»</w:t>
            </w:r>
          </w:p>
          <w:p w:rsidR="009C5461" w:rsidRDefault="009C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5461" w:rsidRDefault="009C5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1" w:rsidRDefault="006D08A2">
      <w:pPr>
        <w:pStyle w:val="ConsPlusTit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Лысогорского муниципального района от 27 сентября 2024 года №</w:t>
      </w:r>
      <w:r w:rsidR="00DB7C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Лысогорского муниципального района </w:t>
      </w:r>
      <w:r w:rsidRPr="00DB7C66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C5461" w:rsidRDefault="006D08A2">
      <w:pPr>
        <w:pStyle w:val="1"/>
        <w:spacing w:before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000000"/>
          <w:spacing w:val="1"/>
          <w:shd w:val="clear" w:color="auto" w:fill="FFFFFF"/>
        </w:rPr>
        <w:t>1.</w:t>
      </w:r>
      <w:r w:rsidR="00DB7C66">
        <w:rPr>
          <w:rFonts w:ascii="Times New Roman" w:hAnsi="Times New Roman" w:cs="Times New Roman"/>
          <w:b w:val="0"/>
          <w:color w:val="000000"/>
          <w:spacing w:val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1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color w:val="auto"/>
        </w:rPr>
        <w:t xml:space="preserve">муниципальную программу </w:t>
      </w:r>
      <w:r>
        <w:rPr>
          <w:rFonts w:ascii="Times New Roman" w:hAnsi="Times New Roman"/>
          <w:b w:val="0"/>
          <w:color w:val="auto"/>
          <w:spacing w:val="-1"/>
        </w:rPr>
        <w:t xml:space="preserve">«Организация отдыха, оздоровления и занятости детей и подростков </w:t>
      </w:r>
      <w:r>
        <w:rPr>
          <w:rFonts w:ascii="Times New Roman" w:hAnsi="Times New Roman" w:cs="Times New Roman"/>
          <w:b w:val="0"/>
          <w:color w:val="auto"/>
        </w:rPr>
        <w:t>образовательными организациями Лысогорского муниципального района» согласно приложению к настоящему постановлению.</w:t>
      </w:r>
    </w:p>
    <w:p w:rsidR="009C5461" w:rsidRDefault="006D08A2">
      <w:pPr>
        <w:pStyle w:val="1"/>
        <w:spacing w:before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 w:rsidR="00DB7C6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Признать утратившим силу постановление администрации Лысогорского муниципального района от 27 декабря 2023 г. №</w:t>
      </w:r>
      <w:r w:rsidR="00DB7C6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751 </w:t>
      </w:r>
      <w:r>
        <w:rPr>
          <w:rFonts w:ascii="Times New Roman" w:hAnsi="Times New Roman"/>
          <w:b w:val="0"/>
          <w:color w:val="auto"/>
          <w:spacing w:val="-1"/>
        </w:rPr>
        <w:t xml:space="preserve">«Об утверждении муниципальной программы «Организация отдыха, оздоровления и занятости детей и подростков </w:t>
      </w:r>
      <w:r>
        <w:rPr>
          <w:rFonts w:ascii="Times New Roman" w:hAnsi="Times New Roman" w:cs="Times New Roman"/>
          <w:b w:val="0"/>
          <w:color w:val="auto"/>
        </w:rPr>
        <w:t>учреждениями образования Лысогорского муниципального района   на 2024–2026г.г.»</w:t>
      </w:r>
    </w:p>
    <w:p w:rsidR="009C5461" w:rsidRDefault="006D08A2">
      <w:pPr>
        <w:pStyle w:val="ConsPlusTit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9C5461" w:rsidRDefault="006D08A2">
      <w:pPr>
        <w:pStyle w:val="ConsPlusTit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   Контроль   за исполнением настоящего постановления возложить на заместителя главы администрации Казаченко Е.А.</w:t>
      </w:r>
    </w:p>
    <w:p w:rsidR="009C5461" w:rsidRDefault="006D08A2">
      <w:pPr>
        <w:pStyle w:val="ConsPlusTit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    Настоящее постановление вступает в силу с 1 января 2025 года.</w:t>
      </w:r>
    </w:p>
    <w:p w:rsidR="009C5461" w:rsidRDefault="009C54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461" w:rsidRDefault="009C54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5461" w:rsidRDefault="006D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9C5461" w:rsidRDefault="006D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С.В. Фартуков</w:t>
      </w:r>
    </w:p>
    <w:p w:rsidR="009C5461" w:rsidRDefault="009C5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C66" w:rsidRDefault="00DB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C66" w:rsidRDefault="00DB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C66" w:rsidRDefault="00DB7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461" w:rsidRPr="00DB7C66" w:rsidRDefault="006D08A2">
      <w:pPr>
        <w:widowControl w:val="0"/>
        <w:spacing w:after="0" w:line="240" w:lineRule="auto"/>
        <w:jc w:val="right"/>
        <w:rPr>
          <w:sz w:val="24"/>
          <w:szCs w:val="24"/>
        </w:rPr>
      </w:pPr>
      <w:r w:rsidRPr="00DB7C66">
        <w:rPr>
          <w:rFonts w:ascii="Times New Roman" w:hAnsi="Times New Roman"/>
          <w:sz w:val="24"/>
          <w:szCs w:val="24"/>
        </w:rPr>
        <w:lastRenderedPageBreak/>
        <w:t xml:space="preserve">Приложение №1 к </w:t>
      </w:r>
    </w:p>
    <w:p w:rsidR="009C5461" w:rsidRPr="00DB7C66" w:rsidRDefault="006D08A2">
      <w:pPr>
        <w:widowControl w:val="0"/>
        <w:spacing w:after="0" w:line="240" w:lineRule="auto"/>
        <w:jc w:val="right"/>
        <w:rPr>
          <w:sz w:val="24"/>
          <w:szCs w:val="24"/>
        </w:rPr>
      </w:pPr>
      <w:r w:rsidRPr="00DB7C66">
        <w:rPr>
          <w:rFonts w:ascii="Times New Roman" w:hAnsi="Times New Roman"/>
          <w:sz w:val="24"/>
          <w:szCs w:val="24"/>
        </w:rPr>
        <w:t xml:space="preserve">   </w:t>
      </w:r>
      <w:r w:rsidR="00DB7C66">
        <w:rPr>
          <w:rFonts w:ascii="Times New Roman" w:hAnsi="Times New Roman"/>
          <w:sz w:val="24"/>
          <w:szCs w:val="24"/>
        </w:rPr>
        <w:t>п</w:t>
      </w:r>
      <w:r w:rsidRPr="00DB7C66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C5461" w:rsidRPr="00DB7C66" w:rsidRDefault="006D08A2">
      <w:pPr>
        <w:widowControl w:val="0"/>
        <w:spacing w:after="0" w:line="240" w:lineRule="auto"/>
        <w:jc w:val="right"/>
        <w:rPr>
          <w:sz w:val="24"/>
          <w:szCs w:val="24"/>
        </w:rPr>
      </w:pPr>
      <w:r w:rsidRPr="00DB7C66">
        <w:rPr>
          <w:rFonts w:ascii="Times New Roman" w:hAnsi="Times New Roman"/>
          <w:sz w:val="24"/>
          <w:szCs w:val="24"/>
        </w:rPr>
        <w:t xml:space="preserve">Лысогорского муниципального </w:t>
      </w:r>
    </w:p>
    <w:p w:rsidR="009C5461" w:rsidRPr="00DB7C66" w:rsidRDefault="006D08A2">
      <w:pPr>
        <w:widowControl w:val="0"/>
        <w:spacing w:after="0" w:line="240" w:lineRule="auto"/>
        <w:jc w:val="right"/>
        <w:rPr>
          <w:sz w:val="24"/>
          <w:szCs w:val="24"/>
        </w:rPr>
      </w:pPr>
      <w:r w:rsidRPr="00DB7C66">
        <w:rPr>
          <w:rFonts w:ascii="Times New Roman" w:hAnsi="Times New Roman"/>
          <w:sz w:val="24"/>
          <w:szCs w:val="24"/>
        </w:rPr>
        <w:t>района от 16.12.24 №</w:t>
      </w:r>
      <w:r w:rsidR="00DB7C66">
        <w:rPr>
          <w:rFonts w:ascii="Times New Roman" w:hAnsi="Times New Roman"/>
          <w:sz w:val="24"/>
          <w:szCs w:val="24"/>
        </w:rPr>
        <w:t xml:space="preserve"> </w:t>
      </w:r>
      <w:r w:rsidRPr="00DB7C66">
        <w:rPr>
          <w:rFonts w:ascii="Times New Roman" w:hAnsi="Times New Roman"/>
          <w:sz w:val="24"/>
          <w:szCs w:val="24"/>
        </w:rPr>
        <w:t xml:space="preserve">685 </w:t>
      </w:r>
      <w:r w:rsidRPr="00DB7C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«ОРГАНИЗАЦИЯ ОТДЫХА, ОЗДОРОВЛЕНИЯ И ЗАНЯТОСТИ ДЕТЕЙ И ПОДРОСТКОВ ОБРАЗОВАТЕЛЬНЫМИ ОРГАНИЗАЦИЯМИ ЛЫСОГОРСКОГО МУНИЦИПАЛЬНОГО РАЙОНА»</w:t>
      </w: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приоритеты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«Организация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отдыха,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подростков»</w:t>
      </w: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461" w:rsidRPr="00DB7C66" w:rsidRDefault="006D08A2" w:rsidP="00DB7C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C66">
        <w:rPr>
          <w:rFonts w:ascii="Times New Roman" w:hAnsi="Times New Roman"/>
          <w:b/>
          <w:sz w:val="28"/>
          <w:szCs w:val="28"/>
        </w:rPr>
        <w:t>Оценка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текущего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состояния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сферы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в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сфере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детского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отдыха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и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оздоровления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детей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Лысогорского</w:t>
      </w:r>
      <w:r w:rsidRPr="00DB7C66">
        <w:rPr>
          <w:rFonts w:ascii="Times New Roman" w:hAnsi="Times New Roman"/>
          <w:sz w:val="28"/>
          <w:szCs w:val="28"/>
        </w:rPr>
        <w:t xml:space="preserve"> </w:t>
      </w:r>
      <w:r w:rsidRPr="00DB7C66">
        <w:rPr>
          <w:rFonts w:ascii="Times New Roman" w:hAnsi="Times New Roman"/>
          <w:b/>
          <w:sz w:val="28"/>
          <w:szCs w:val="28"/>
        </w:rPr>
        <w:t>района</w:t>
      </w: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 июля 1998 года № 124-ФЗ</w:t>
      </w:r>
      <w:r w:rsidR="00DB7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основных гарантиях прав ребенка в Российской Федерации» (далее - Федеральный закон «Об основных гарантиях прав ребенка в Российской Федерации») дети имеют право на получение услуг по организации отдыха и оздоровления.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отдыха, оздоровления, занятости детей и подростков является неотъемлемой частью социальной политики государства и направлена  на укрепление здоровья, развитие физических, эстетических и нравственных качеств человеческой личности, организацию общественно полезной деятельности, досуга, обеспечение защиты прав и законных интересов детей, подростков  и социального благополучия семьи в целом. 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создании условий полноценного развития подрастающего поколения организация отдыха и оздоровления детей и подростков имеет большое значение. Эта проблема является одной из наиболее приоритетных социальных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этих условиях очень важно  использовать самые современные  формы  организации отдыха и оздоровления детей и подростков.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Рассматриваемые на государственном уровне проблемы повышения качества и безопасности оказываемых услуг в этой сфере и удовлетворенности детей и их родителей (законных представителей) </w:t>
      </w:r>
      <w:r>
        <w:rPr>
          <w:rFonts w:ascii="Times New Roman" w:hAnsi="Times New Roman"/>
          <w:sz w:val="28"/>
          <w:szCs w:val="28"/>
        </w:rPr>
        <w:lastRenderedPageBreak/>
        <w:t>услугами в сфере отдыха и оздоровления детей требуют поиска путей их решения.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существует необходимость совершенствования законодательной и иной нормативно-правовой базы, развития инфраструктуры организаций отдыха детей и их оздоровления на фоне возросших требований со стороны родителей (законных представителей) детей, направляемых на отдых и оздоровление в указанные организации, в том числе к образовательному компоненту сферы отдыха и оздоровления детей и профессиональному уровню педагогических кадров. 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общего образования   Лысогорского муниципального района представлена 3 муниципальными общеобразовательными учреждениями, включающими 17 филиалов, в которых обучаются   1600 человек, из них 490 подростков в возрасте от 14 до 18 лет.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летних каникул на территории района стабильно работают 19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общеобразовательных</w:t>
      </w:r>
      <w:r w:rsidR="00DB7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отдыхают 504 обучающихся. Все организации отдыха детей и их оздоровления внесены в реестр организаций отдыха детей и оздоровления Саратовской области на территории Лысогорского муниципального района, который своевременно актуализируется.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Управлением образования и образовательными учреждениями Лысогорского муниципального района в целях профилактики безнадзорности и правонарушений для несовершеннолетних и их родителей по организации летней занятости в образовательных организациях ежегодно работа по трудоустройству несовершеннолетних. В соответствии с Трудовым Кодексом Российской Федерации с несовершеннолетним заключается трехсторонний договор на срок временного трудоустройства. Обучающиеся работают на 0,25 ставки в течение 0,5 месяца по 2 часа в день. По настоящему трудовому договору  работодатель  предоставляет  работнику  работу  по  должности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«Рабочий по комплексному обслуживанию зданий».</w:t>
      </w:r>
    </w:p>
    <w:p w:rsidR="009C5461" w:rsidRDefault="009C5461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B7C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приоритеты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района</w:t>
      </w:r>
      <w:r w:rsidR="00DB7C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отдыха,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подростков»</w:t>
      </w:r>
    </w:p>
    <w:p w:rsidR="00DB7C66" w:rsidRDefault="00DB7C66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целеполагания и задачи Программы сформированы с учетом национальных целей развития на период до 2030 года,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№ 2765-р.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 будет непосредственно направлена на достижение национальной цели развития Российской Федерации на период до 2030 года –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«Вхождение Российской Федерации в число десяти ведущих стран мира по качеству общего образования».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Кроме того, при формировании целей и показателей Программы учитывались положения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положений Стратегии социально- экономического развития Саратовской области до 2030 года, утвержденной постановлением Правительства Саратовской области от 30 июня 2016 года № 321-П.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№ 309 «О национальных целях развития Российской Федерации на период до 2030 года и на перспективу до 2036 года»,  </w:t>
      </w:r>
    </w:p>
    <w:p w:rsidR="009C5461" w:rsidRDefault="006D08A2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5461" w:rsidRDefault="009C5461" w:rsidP="00DB7C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C66" w:rsidRDefault="00DB7C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C66" w:rsidRDefault="00DB7C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C66" w:rsidRDefault="00DB7C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C66" w:rsidRDefault="00DB7C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9C54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Паспорт муниципальной программы</w:t>
      </w:r>
    </w:p>
    <w:p w:rsidR="009C5461" w:rsidRDefault="006D0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"Организация отдыха, оздоровления и занятости детей и подростков образовательными организациями Лысогорского муниципального района "</w:t>
      </w:r>
    </w:p>
    <w:p w:rsidR="009C5461" w:rsidRDefault="009C5461">
      <w:pPr>
        <w:widowControl w:val="0"/>
        <w:spacing w:after="0" w:line="240" w:lineRule="auto"/>
        <w:jc w:val="center"/>
        <w:rPr>
          <w:b/>
          <w:bCs/>
          <w:strike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536"/>
        <w:gridCol w:w="3820"/>
      </w:tblGrid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pStyle w:val="ConsPlusTit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Казаченко Елена Алексеевна-заместитель главы администрации Лысогорского муниципального района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Лысогорского муниципального района Саратовской области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-муниципальные образовательные организации, подведомственные управлению образования администрации Лысогорского муниципального района Саратовской области;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управление образования администрации Лысогорского муниципального района Саратовской области;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-администрация Лысогорского муниципального района Саратовской области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ГКУ СО «Центр занятости населения Лысогорского района» (по согласованию)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91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2025– 2027г.г.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  для отдыха,  оздоровления и занятости детей и подростков Лысогорского  района в каникулярное время</w:t>
            </w:r>
          </w:p>
          <w:p w:rsidR="00DB7C66" w:rsidRDefault="00DB7C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обеспечение отдыха и занятости детей и подростков в период летних каникул;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1«Организация летнего отдыха, оздоровления и занятости детей, подростков образовательными организациями Лысогорского муниципального района»;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"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для подростка "</w:t>
            </w:r>
          </w:p>
        </w:tc>
      </w:tr>
      <w:tr w:rsidR="009C5461">
        <w:trPr>
          <w:trHeight w:val="654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 (тыс. рублей)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92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</w:t>
              </w:r>
              <w:r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8 650,5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8 650,5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5461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ind w:left="57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1.Охват детей и подростков организованными формами отдыха и оздоровления – 504 человека, или 30% детей от 7 до 15 лет;</w:t>
            </w:r>
          </w:p>
          <w:p w:rsidR="009C5461" w:rsidRDefault="006D08A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 Трудоустройство  100  несовершеннолетних граждан</w:t>
            </w:r>
          </w:p>
          <w:p w:rsidR="009C5461" w:rsidRDefault="006D08A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специально созданные рабочие места, или 18% детей от 14 до 18 лет.</w:t>
            </w:r>
          </w:p>
          <w:p w:rsidR="009C5461" w:rsidRDefault="009C5461">
            <w:pPr>
              <w:widowControl w:val="0"/>
              <w:spacing w:after="0" w:line="240" w:lineRule="auto"/>
              <w:rPr>
                <w:strike/>
                <w:color w:val="FF0000"/>
              </w:rPr>
            </w:pPr>
          </w:p>
          <w:p w:rsidR="009C5461" w:rsidRDefault="009C5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5461" w:rsidRDefault="009C5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1" w:rsidRDefault="009C546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</w:p>
    <w:p w:rsidR="009C5461" w:rsidRDefault="006D08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9C5461" w:rsidSect="00DB7C66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36864"/>
        </w:sectPr>
      </w:pPr>
      <w:bookmarkStart w:id="1" w:name="sub_991_Копия_1"/>
      <w:bookmarkStart w:id="2" w:name="sub_992"/>
      <w:bookmarkEnd w:id="1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запятой).</w:t>
      </w:r>
      <w:bookmarkEnd w:id="2"/>
    </w:p>
    <w:p w:rsidR="009C5461" w:rsidRDefault="006D08A2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100"/>
        <w:gridCol w:w="5101"/>
      </w:tblGrid>
      <w:tr w:rsidR="009C5461">
        <w:trPr>
          <w:trHeight w:val="1"/>
        </w:trPr>
        <w:tc>
          <w:tcPr>
            <w:tcW w:w="10099" w:type="dxa"/>
            <w:shd w:val="clear" w:color="000000" w:fill="FFFFFF"/>
          </w:tcPr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"Организация отдыха, оздоровления и занятости детей и подростков образовательными организациями Лысогорского муниципального района</w:t>
            </w:r>
            <w:r>
              <w:rPr>
                <w:rFonts w:ascii="Times New Roman" w:hAnsi="Times New Roman"/>
                <w:b/>
                <w:bCs/>
                <w:strike/>
                <w:color w:val="26282F"/>
                <w:sz w:val="28"/>
                <w:szCs w:val="28"/>
              </w:rPr>
              <w:t>»</w:t>
            </w:r>
          </w:p>
        </w:tc>
        <w:tc>
          <w:tcPr>
            <w:tcW w:w="5101" w:type="dxa"/>
            <w:shd w:val="clear" w:color="000000" w:fill="FFFFFF"/>
          </w:tcPr>
          <w:p w:rsidR="009C5461" w:rsidRDefault="009C54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C5461" w:rsidRDefault="009C5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37"/>
        <w:gridCol w:w="1418"/>
        <w:gridCol w:w="1131"/>
        <w:gridCol w:w="1360"/>
        <w:gridCol w:w="1467"/>
        <w:gridCol w:w="853"/>
        <w:gridCol w:w="845"/>
        <w:gridCol w:w="2027"/>
        <w:gridCol w:w="1846"/>
        <w:gridCol w:w="1557"/>
        <w:gridCol w:w="1674"/>
      </w:tblGrid>
      <w:tr w:rsidR="009C5461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цели/показателя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достижение показателя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01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которым предусмотрено включение данного показателя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02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показателями национальных целей государственной программы (маркировка)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03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04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****</w:t>
              </w:r>
            </w:hyperlink>
          </w:p>
        </w:tc>
      </w:tr>
      <w:tr w:rsidR="009C5461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461">
        <w:tc>
          <w:tcPr>
            <w:tcW w:w="15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программы:</w:t>
            </w:r>
          </w:p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отдыха, оздоровления и занятости детей и подростков Лысогорского района в каникулярное время</w:t>
            </w:r>
          </w:p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обеспечение отдыха и занятости детей и подростков в период летних каникул;</w:t>
            </w:r>
          </w:p>
          <w:p w:rsidR="009C5461" w:rsidRDefault="009C5461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9C54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летнего отдыха, оздоровления и занятости детей, подростк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 образовательными организациями Лысогорского муниципального района на 2025–2027г.г.»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Лысогорского муниципального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г. № 131-ФЗ «Об общих принципах организации местного самоуправле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в Российской Федерации»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54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«Работа для подростка» на 2025–2027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Лысогорского муниципального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 июня 1999 г. №120-ФЗ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C5461" w:rsidRDefault="009C5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1" w:rsidRDefault="006D08A2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bookmarkStart w:id="3" w:name="sub_901"/>
      <w:bookmarkEnd w:id="3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наименование органа, ответственного за достижение показателя.</w:t>
      </w:r>
    </w:p>
    <w:p w:rsidR="009C5461" w:rsidRDefault="006D08A2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bookmarkStart w:id="4" w:name="sub_902"/>
      <w:bookmarkStart w:id="5" w:name="sub_901_Копия_1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9C5461" w:rsidRDefault="006D08A2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bookmarkStart w:id="6" w:name="sub_903"/>
      <w:bookmarkStart w:id="7" w:name="sub_902_Копия_1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9C5461" w:rsidRDefault="006D08A2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  <w:sectPr w:rsidR="009C5461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36864"/>
        </w:sectPr>
      </w:pPr>
      <w:bookmarkStart w:id="8" w:name="sub_903_Копия_1"/>
      <w:bookmarkStart w:id="9" w:name="sub_904"/>
      <w:bookmarkEnd w:id="8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при наличии.</w:t>
      </w:r>
      <w:bookmarkEnd w:id="9"/>
    </w:p>
    <w:p w:rsidR="009C5461" w:rsidRDefault="006D08A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III. Структура муниципальной Программы</w:t>
      </w:r>
    </w:p>
    <w:p w:rsidR="009C5461" w:rsidRDefault="009C54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8"/>
        <w:gridCol w:w="2687"/>
        <w:gridCol w:w="2692"/>
        <w:gridCol w:w="3119"/>
      </w:tblGrid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1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92">
              <w:r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**</w:t>
              </w:r>
            </w:hyperlink>
          </w:p>
        </w:tc>
      </w:tr>
    </w:tbl>
    <w:p w:rsidR="009C5461" w:rsidRDefault="009C5461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8"/>
        <w:gridCol w:w="2687"/>
        <w:gridCol w:w="2692"/>
        <w:gridCol w:w="3119"/>
      </w:tblGrid>
      <w:tr w:rsidR="009C5461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  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администрации Лысогорского муниципального района Саратовской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начала   реализации (2025год   -</w:t>
            </w:r>
          </w:p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 окончания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государственных гарантий по предоставлению  бесплатного  отдыха,  оздоровления  и занятости 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от 7-15 лет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на базе образовательных организаций Лысогорского муниципального района 19 пришкольных лагерей с охватом 504 человека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для 504 детей бесплатного отдыха и оздоровления</w:t>
            </w:r>
          </w:p>
        </w:tc>
      </w:tr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занятости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"</w:t>
            </w:r>
          </w:p>
        </w:tc>
      </w:tr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реализацию -управление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54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обеспечение  трудовой занятости  подростков в каникулярное время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100  специальных рабочих мест для подростков  (в первую очередь подростков из числа социально неблагополучных   семей).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</w:t>
            </w:r>
          </w:p>
          <w:p w:rsidR="009C5461" w:rsidRDefault="006D08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14-17 лет, охваченных   трудовой деятельностью</w:t>
            </w:r>
          </w:p>
        </w:tc>
      </w:tr>
    </w:tbl>
    <w:p w:rsidR="009C5461" w:rsidRDefault="009C54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9C54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9C54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9C54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6D08A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Ожидаемые эффекты должны содержать количественные параметры. В случае невозможности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указать количественные параметры указываются качественные.</w:t>
      </w:r>
    </w:p>
    <w:p w:rsidR="009C5461" w:rsidRDefault="006D08A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92"/>
      <w:bookmarkEnd w:id="10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в муниципальной программе статистического показателя, значение по которому представляется Федеральной службой государственной статистики после 20 февраля года, следующего за отчетным,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сроки.</w:t>
      </w:r>
    </w:p>
    <w:p w:rsidR="009C5461" w:rsidRDefault="006D08A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92_Копия_1"/>
      <w:bookmarkStart w:id="12" w:name="sub_93"/>
      <w:bookmarkEnd w:id="11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куратор муниципального проекта.</w:t>
      </w:r>
      <w:bookmarkEnd w:id="12"/>
    </w:p>
    <w:p w:rsidR="009C5461" w:rsidRDefault="006D08A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5461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36864"/>
        </w:sect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в случае наличия структурных элементов или их мероприятий (результатов), не входящих в подпрограммы муниципальной программы.</w:t>
      </w:r>
    </w:p>
    <w:p w:rsidR="009C5461" w:rsidRDefault="006D08A2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IV. Финансовое обеспечение муниципальной Программы</w:t>
      </w:r>
    </w:p>
    <w:p w:rsidR="009C5461" w:rsidRDefault="009C5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00"/>
        <w:gridCol w:w="1916"/>
        <w:gridCol w:w="1912"/>
        <w:gridCol w:w="2873"/>
        <w:gridCol w:w="2872"/>
      </w:tblGrid>
      <w:tr w:rsidR="009C5461"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10391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9C5461"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9C5461" w:rsidRDefault="009C5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C5461" w:rsidRDefault="009C5461">
      <w:pPr>
        <w:spacing w:after="0" w:line="240" w:lineRule="auto"/>
        <w:rPr>
          <w:sz w:val="2"/>
          <w:szCs w:val="2"/>
        </w:rPr>
      </w:pPr>
    </w:p>
    <w:tbl>
      <w:tblPr>
        <w:tblW w:w="146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00"/>
        <w:gridCol w:w="1916"/>
        <w:gridCol w:w="1912"/>
        <w:gridCol w:w="2873"/>
        <w:gridCol w:w="2872"/>
      </w:tblGrid>
      <w:tr w:rsidR="009C5461">
        <w:trPr>
          <w:tblHeader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отдыха, оздоровления и занятости детей и подростков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образовательными организациями Лысогорского муниципального района на 2025-2027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2947,3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2829,6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2947,3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2829,6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 Организация отдыха, оздоровления 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2 677,7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2 610,8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2 543,9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AC52D5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2 677,7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2 610,8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2 543,9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AC52D5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rPr>
          <w:trHeight w:val="37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 Организация занятости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всего), в том числе: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269,6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262,8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285,7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269,6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262,8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285,7</w:t>
            </w:r>
          </w:p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AC52D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61" w:rsidRDefault="006D08A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6D08A2">
      <w:pPr>
        <w:tabs>
          <w:tab w:val="left" w:pos="11746"/>
          <w:tab w:val="right" w:pos="1428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Приложение №2 к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Постановлению  администрации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Лысогорского муниципального 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района от 16.12.24 №685 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9C5461" w:rsidRDefault="009C54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 муниципальной программы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"Организация отдыха, оздоровления и занятости детей и подростков образовательными организациями Лысогорского муниципального района»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_________________________________________________________________________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9C5461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Лысогорского муниципального района</w:t>
            </w:r>
          </w:p>
        </w:tc>
      </w:tr>
      <w:tr w:rsidR="009C5461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"Организация отдыха, оздоровления и занятости детей и подростков образовательными организациями Лысогорского муниципального района»</w:t>
            </w:r>
          </w:p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II. Показатели комплекса процессных мероприятий </w:t>
      </w:r>
    </w:p>
    <w:p w:rsidR="009C5461" w:rsidRDefault="006D08A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«Организация летнего отдыха, оздоровления и занятости детей, подростков образовательными организациями Лысогорского муниципального района</w:t>
      </w:r>
    </w:p>
    <w:p w:rsidR="009C5461" w:rsidRDefault="006D08A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tbl>
      <w:tblPr>
        <w:tblW w:w="142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1"/>
        <w:gridCol w:w="1560"/>
        <w:gridCol w:w="1196"/>
        <w:gridCol w:w="1460"/>
        <w:gridCol w:w="1408"/>
        <w:gridCol w:w="1308"/>
        <w:gridCol w:w="1070"/>
        <w:gridCol w:w="3106"/>
        <w:gridCol w:w="2498"/>
      </w:tblGrid>
      <w:tr w:rsidR="009C5461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>
              <w:r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9C5461">
        <w:trPr>
          <w:trHeight w:val="149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2025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2026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42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1"/>
        <w:gridCol w:w="1560"/>
        <w:gridCol w:w="1196"/>
        <w:gridCol w:w="1460"/>
        <w:gridCol w:w="1408"/>
        <w:gridCol w:w="1361"/>
        <w:gridCol w:w="1017"/>
        <w:gridCol w:w="3106"/>
        <w:gridCol w:w="2498"/>
      </w:tblGrid>
      <w:tr w:rsidR="009C5461">
        <w:trPr>
          <w:trHeight w:val="280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9C5461">
        <w:trPr>
          <w:trHeight w:val="5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2">
              <w:r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Оздоровление в летних оздоровительных лагерях с дневным пребыванием на базе общеоб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разовательных организаций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процентов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C5461" w:rsidRDefault="009C5461">
      <w:pPr>
        <w:suppressAutoHyphens w:val="0"/>
        <w:rPr>
          <w:rFonts w:ascii="Calibri" w:eastAsia="Calibri" w:hAnsi="Calibri" w:cs="Times New Roman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6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22"/>
        <w:gridCol w:w="2280"/>
        <w:gridCol w:w="1700"/>
        <w:gridCol w:w="2269"/>
        <w:gridCol w:w="1420"/>
        <w:gridCol w:w="1275"/>
        <w:gridCol w:w="1206"/>
        <w:gridCol w:w="1211"/>
        <w:gridCol w:w="1204"/>
        <w:gridCol w:w="1186"/>
      </w:tblGrid>
      <w:tr w:rsidR="009C5461"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C5461"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9C5461"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Задача - обеспечение государственных гарантий по предоставлению  бесплатного  отдыха, оздоровления  и занятости  детей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7-15 лет</w:t>
            </w:r>
          </w:p>
        </w:tc>
      </w:tr>
      <w:tr w:rsidR="009C5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4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в летних оздоровительных лагерях с дневным пребыванием на базе 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от 7-до 15 лет и подростков организованными формами отдыха и оздоровления</w:t>
            </w:r>
          </w:p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двухразовым питанием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</w:t>
            </w:r>
          </w:p>
        </w:tc>
      </w:tr>
      <w:tr w:rsidR="009C5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021302"/>
      <w:bookmarkEnd w:id="13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021303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  <w:bookmarkEnd w:id="14"/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C5461" w:rsidRDefault="009C5461">
      <w:pPr>
        <w:suppressAutoHyphens w:val="0"/>
        <w:rPr>
          <w:rFonts w:ascii="Calibri" w:eastAsia="Calibri" w:hAnsi="Calibri" w:cs="Times New Roman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комплекса процессных мероприятий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30"/>
        <w:gridCol w:w="905"/>
        <w:gridCol w:w="1303"/>
        <w:gridCol w:w="1307"/>
        <w:gridCol w:w="1187"/>
        <w:gridCol w:w="4427"/>
      </w:tblGrid>
      <w:tr w:rsidR="009C5461"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9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9C5461">
        <w:tc>
          <w:tcPr>
            <w:tcW w:w="5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30"/>
        <w:gridCol w:w="905"/>
        <w:gridCol w:w="1303"/>
        <w:gridCol w:w="1307"/>
        <w:gridCol w:w="1187"/>
        <w:gridCol w:w="4427"/>
      </w:tblGrid>
      <w:tr w:rsidR="009C5461">
        <w:trPr>
          <w:tblHeader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Оздоровление в летних оздоровительных лагерях с дневным пребыванием на базе  общеобразовательных организаций (всего), 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2 677,7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2 6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C8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2 677,7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C8" w:rsidRDefault="005A30C8" w:rsidP="005A30C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2 6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461" w:rsidRDefault="006D08A2" w:rsidP="005A30C8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3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9C5461" w:rsidRDefault="009C546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6D08A2">
      <w:pPr>
        <w:tabs>
          <w:tab w:val="left" w:pos="11746"/>
          <w:tab w:val="right" w:pos="1428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№3 к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Постановлению  администрации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Лысогорского муниципального </w:t>
      </w:r>
    </w:p>
    <w:p w:rsidR="009C5461" w:rsidRDefault="006D08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района от 16.12.24 №685 </w:t>
      </w:r>
    </w:p>
    <w:p w:rsidR="009C5461" w:rsidRDefault="009C54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C5461" w:rsidRDefault="009C54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 муниципальной программы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"Организация отдыха, оздоровления и занятости детей и подростков образовательными организациями Лысогорского муниципального района»</w:t>
      </w: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_________________________________________________________________________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9C5461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Лысогорского муниципального района</w:t>
            </w:r>
          </w:p>
        </w:tc>
      </w:tr>
      <w:tr w:rsidR="009C5461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"Организация отдыха, оздоровления и занятости детей и подростков образовательными организациями Лысогорского муниципального района»</w:t>
            </w:r>
          </w:p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suppressAutoHyphens w:val="0"/>
        <w:rPr>
          <w:rFonts w:ascii="Calibri" w:eastAsia="Calibri" w:hAnsi="Calibri" w:cs="Times New Roman"/>
        </w:rPr>
      </w:pPr>
    </w:p>
    <w:p w:rsidR="009C5461" w:rsidRDefault="006D08A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II. Показатели комплекса процессных мероприятий </w:t>
      </w:r>
    </w:p>
    <w:p w:rsidR="009C5461" w:rsidRDefault="006D08A2">
      <w:pPr>
        <w:widowControl w:val="0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 Работа для подростка»</w:t>
      </w:r>
    </w:p>
    <w:p w:rsidR="009C5461" w:rsidRDefault="006D08A2">
      <w:pPr>
        <w:widowControl w:val="0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tbl>
      <w:tblPr>
        <w:tblW w:w="142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1"/>
        <w:gridCol w:w="1560"/>
        <w:gridCol w:w="1196"/>
        <w:gridCol w:w="1460"/>
        <w:gridCol w:w="1408"/>
        <w:gridCol w:w="1308"/>
        <w:gridCol w:w="1070"/>
        <w:gridCol w:w="3106"/>
        <w:gridCol w:w="2498"/>
      </w:tblGrid>
      <w:tr w:rsidR="009C5461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>
              <w:r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9C5461">
        <w:trPr>
          <w:trHeight w:val="149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2025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2026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426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1"/>
        <w:gridCol w:w="1560"/>
        <w:gridCol w:w="1196"/>
        <w:gridCol w:w="1460"/>
        <w:gridCol w:w="1408"/>
        <w:gridCol w:w="1361"/>
        <w:gridCol w:w="1017"/>
        <w:gridCol w:w="3106"/>
        <w:gridCol w:w="2498"/>
      </w:tblGrid>
      <w:tr w:rsidR="009C5461">
        <w:trPr>
          <w:trHeight w:val="280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9C5461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занятости детей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C5461" w:rsidRDefault="009C5461">
      <w:pPr>
        <w:suppressAutoHyphens w:val="0"/>
        <w:rPr>
          <w:rFonts w:ascii="Calibri" w:eastAsia="Calibri" w:hAnsi="Calibri" w:cs="Times New Roman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6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22"/>
        <w:gridCol w:w="2280"/>
        <w:gridCol w:w="1700"/>
        <w:gridCol w:w="2269"/>
        <w:gridCol w:w="1420"/>
        <w:gridCol w:w="1275"/>
        <w:gridCol w:w="1206"/>
        <w:gridCol w:w="1211"/>
        <w:gridCol w:w="1204"/>
        <w:gridCol w:w="1186"/>
      </w:tblGrid>
      <w:tr w:rsidR="009C5461"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C5461"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9C5461"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-  Организация и обеспечение  трудовой занятости  подростков в каникулярное время</w:t>
            </w:r>
          </w:p>
        </w:tc>
      </w:tr>
      <w:tr w:rsidR="009C5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занятости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физическим лицам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граждан на специально созданные рабочие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  .</w:t>
            </w:r>
            <w:proofErr w:type="gramEnd"/>
          </w:p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021302_Копия_1"/>
      <w:bookmarkEnd w:id="15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021302_Копия_1_Копия_1"/>
      <w:bookmarkStart w:id="17" w:name="sub_1021303_Копия_1"/>
      <w:bookmarkEnd w:id="16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  <w:bookmarkEnd w:id="17"/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C5461" w:rsidRDefault="009C5461">
      <w:pPr>
        <w:suppressAutoHyphens w:val="0"/>
        <w:rPr>
          <w:rFonts w:ascii="Calibri" w:eastAsia="Calibri" w:hAnsi="Calibri" w:cs="Times New Roman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9C546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C5461" w:rsidRDefault="009C546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30"/>
        <w:gridCol w:w="905"/>
        <w:gridCol w:w="1303"/>
        <w:gridCol w:w="1307"/>
        <w:gridCol w:w="1187"/>
        <w:gridCol w:w="4427"/>
      </w:tblGrid>
      <w:tr w:rsidR="009C5461"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9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9C5461">
        <w:tc>
          <w:tcPr>
            <w:tcW w:w="5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C5461" w:rsidRDefault="009C5461">
      <w:pPr>
        <w:suppressAutoHyphens w:val="0"/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30"/>
        <w:gridCol w:w="905"/>
        <w:gridCol w:w="1303"/>
        <w:gridCol w:w="1307"/>
        <w:gridCol w:w="1187"/>
        <w:gridCol w:w="4427"/>
      </w:tblGrid>
      <w:tr w:rsidR="009C5461">
        <w:trPr>
          <w:tblHeader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 процессных мероприятий</w:t>
            </w:r>
          </w:p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(всего), 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4C076F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8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4C076F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  <w:r w:rsidR="006D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 w:rsidP="004C076F">
            <w:pPr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8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6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6D08A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>
              <w:r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61" w:rsidRDefault="009C546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61" w:rsidRDefault="009C546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9C5461" w:rsidRDefault="006D08A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9C5461" w:rsidRDefault="009C546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1" w:rsidRDefault="009C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9C5461">
      <w:pPr>
        <w:rPr>
          <w:color w:val="FF0000"/>
          <w:sz w:val="32"/>
          <w:szCs w:val="32"/>
        </w:rPr>
      </w:pPr>
    </w:p>
    <w:p w:rsidR="009C5461" w:rsidRDefault="006D08A2">
      <w:pPr>
        <w:rPr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/>
    <w:p w:rsidR="009C5461" w:rsidRDefault="009C5461"/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9C5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461" w:rsidRDefault="006D0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</w:t>
      </w:r>
    </w:p>
    <w:p w:rsidR="009C5461" w:rsidRDefault="009C5461"/>
    <w:p w:rsidR="009C5461" w:rsidRDefault="009C5461"/>
    <w:p w:rsidR="009C5461" w:rsidRDefault="009C5461"/>
    <w:sectPr w:rsidR="009C5461">
      <w:pgSz w:w="16838" w:h="11906" w:orient="landscape"/>
      <w:pgMar w:top="426" w:right="851" w:bottom="567" w:left="1701" w:header="0" w:footer="0" w:gutter="0"/>
      <w:cols w:space="720"/>
      <w:formProt w:val="0"/>
      <w:docGrid w:linePitch="435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162"/>
    <w:multiLevelType w:val="hybridMultilevel"/>
    <w:tmpl w:val="6A16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61"/>
    <w:rsid w:val="004C076F"/>
    <w:rsid w:val="005A30C8"/>
    <w:rsid w:val="006D08A2"/>
    <w:rsid w:val="009C5461"/>
    <w:rsid w:val="00AC52D5"/>
    <w:rsid w:val="00D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F467"/>
  <w15:docId w15:val="{84A16283-A09E-4522-A4B4-07B057E5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2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4C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72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qFormat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qFormat/>
    <w:rPr>
      <w:b/>
      <w:bCs w:val="0"/>
      <w:color w:val="26282F"/>
    </w:rPr>
  </w:style>
  <w:style w:type="character" w:customStyle="1" w:styleId="a7">
    <w:name w:val="Гипертекстовая ссылка"/>
    <w:basedOn w:val="a6"/>
    <w:qFormat/>
    <w:rPr>
      <w:rFonts w:ascii="Times New Roman" w:hAnsi="Times New Roman" w:cs="Times New Roman"/>
      <w:b/>
      <w:bCs w:val="0"/>
      <w:color w:val="106BBE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A25FA"/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tyle6">
    <w:name w:val="Style6"/>
    <w:basedOn w:val="a"/>
    <w:qFormat/>
    <w:pPr>
      <w:widowControl w:val="0"/>
      <w:spacing w:after="0" w:line="221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79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72EB-8BC0-49C3-8D81-B23B865A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19</Pages>
  <Words>3385</Words>
  <Characters>19299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Аппарат</cp:lastModifiedBy>
  <cp:revision>52</cp:revision>
  <cp:lastPrinted>2025-03-21T08:30:00Z</cp:lastPrinted>
  <dcterms:created xsi:type="dcterms:W3CDTF">2024-10-15T10:10:00Z</dcterms:created>
  <dcterms:modified xsi:type="dcterms:W3CDTF">2025-03-21T08:41:00Z</dcterms:modified>
  <dc:language>ru-RU</dc:language>
</cp:coreProperties>
</file>